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573"/>
        <w:gridCol w:w="3225"/>
        <w:gridCol w:w="7182"/>
      </w:tblGrid>
      <w:tr w:rsidR="000A4681" w:rsidTr="0090063B">
        <w:tc>
          <w:tcPr>
            <w:tcW w:w="3798" w:type="dxa"/>
            <w:gridSpan w:val="2"/>
            <w:shd w:val="clear" w:color="auto" w:fill="DBE5F1" w:themeFill="accent1" w:themeFillTint="33"/>
            <w:vAlign w:val="center"/>
          </w:tcPr>
          <w:p w:rsidR="000A4681" w:rsidRPr="000A4681" w:rsidRDefault="000A4681" w:rsidP="00A91542">
            <w:pPr>
              <w:jc w:val="center"/>
              <w:rPr>
                <w:b/>
              </w:rPr>
            </w:pPr>
            <w:r w:rsidRPr="000A4681">
              <w:rPr>
                <w:b/>
              </w:rPr>
              <w:t>STRATEGIES</w:t>
            </w:r>
          </w:p>
        </w:tc>
        <w:tc>
          <w:tcPr>
            <w:tcW w:w="7182" w:type="dxa"/>
            <w:shd w:val="clear" w:color="auto" w:fill="DBE5F1" w:themeFill="accent1" w:themeFillTint="33"/>
          </w:tcPr>
          <w:p w:rsidR="000A4681" w:rsidRPr="000A4681" w:rsidRDefault="00FA4802" w:rsidP="002C16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– HOW TO’s</w:t>
            </w:r>
          </w:p>
        </w:tc>
      </w:tr>
      <w:tr w:rsidR="002839D0" w:rsidTr="0090063B">
        <w:tc>
          <w:tcPr>
            <w:tcW w:w="57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2839D0" w:rsidRPr="00504706" w:rsidRDefault="002839D0" w:rsidP="002C69D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04706">
              <w:rPr>
                <w:b/>
                <w:sz w:val="24"/>
                <w:szCs w:val="24"/>
              </w:rPr>
              <w:t>Placement</w:t>
            </w:r>
            <w:r w:rsidR="0022093E" w:rsidRPr="00504706">
              <w:rPr>
                <w:b/>
                <w:sz w:val="24"/>
                <w:szCs w:val="24"/>
              </w:rPr>
              <w:t xml:space="preserve"> Considerations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2839D0" w:rsidRPr="000A4681" w:rsidRDefault="002839D0" w:rsidP="00741F49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Collaborate with counselor to interpret student’s transcript; and identify learning gaps</w:t>
            </w:r>
          </w:p>
        </w:tc>
        <w:tc>
          <w:tcPr>
            <w:tcW w:w="7182" w:type="dxa"/>
          </w:tcPr>
          <w:p w:rsidR="002839D0" w:rsidRPr="0022093E" w:rsidRDefault="002839D0" w:rsidP="00F764BA">
            <w:pPr>
              <w:rPr>
                <w:rFonts w:ascii="Arial" w:hAnsi="Arial" w:cs="Arial"/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Top priority in placement</w:t>
            </w:r>
            <w:r w:rsidRPr="0022093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2093E">
              <w:rPr>
                <w:sz w:val="20"/>
                <w:szCs w:val="20"/>
              </w:rPr>
              <w:t xml:space="preserve">student complete </w:t>
            </w:r>
            <w:r w:rsidR="00F764BA">
              <w:rPr>
                <w:sz w:val="20"/>
                <w:szCs w:val="20"/>
              </w:rPr>
              <w:t>classes required for graduation</w:t>
            </w:r>
            <w:r w:rsidR="00F73D35">
              <w:rPr>
                <w:sz w:val="20"/>
                <w:szCs w:val="20"/>
              </w:rPr>
              <w:t>.</w:t>
            </w:r>
            <w:r w:rsidR="00F764BA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0A4681" w:rsidRPr="00F73D35">
              <w:rPr>
                <w:sz w:val="20"/>
                <w:szCs w:val="20"/>
              </w:rPr>
              <w:t xml:space="preserve">● </w:t>
            </w:r>
            <w:r w:rsidR="00504706">
              <w:rPr>
                <w:sz w:val="20"/>
                <w:szCs w:val="20"/>
              </w:rPr>
              <w:t>I</w:t>
            </w:r>
            <w:r w:rsidR="000A4681" w:rsidRPr="00F73D35">
              <w:rPr>
                <w:sz w:val="20"/>
                <w:szCs w:val="20"/>
              </w:rPr>
              <w:t xml:space="preserve">f late entry resulted in placement in Alternative HS, identify how and when the student can return to the regular high school.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</w:t>
            </w:r>
            <w:r w:rsidR="00504706">
              <w:rPr>
                <w:sz w:val="20"/>
                <w:szCs w:val="20"/>
              </w:rPr>
              <w:t xml:space="preserve">Identify if student is likely to </w:t>
            </w:r>
            <w:r w:rsidRPr="0022093E">
              <w:rPr>
                <w:sz w:val="20"/>
                <w:szCs w:val="20"/>
              </w:rPr>
              <w:t>graduate on time</w:t>
            </w:r>
            <w:r w:rsidR="00504706">
              <w:rPr>
                <w:sz w:val="20"/>
                <w:szCs w:val="20"/>
              </w:rPr>
              <w:t>.</w:t>
            </w:r>
            <w:r w:rsidR="000A4681">
              <w:rPr>
                <w:sz w:val="20"/>
                <w:szCs w:val="20"/>
              </w:rPr>
              <w:t xml:space="preserve">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Identify if placement decisions are supporting completion of CADR requirements in English, math, science, </w:t>
            </w:r>
            <w:r w:rsidR="00504706">
              <w:rPr>
                <w:sz w:val="20"/>
                <w:szCs w:val="20"/>
              </w:rPr>
              <w:t>etc.</w:t>
            </w:r>
            <w:r w:rsidRPr="0022093E">
              <w:rPr>
                <w:sz w:val="20"/>
                <w:szCs w:val="20"/>
              </w:rPr>
              <w:t xml:space="preserve"> </w:t>
            </w:r>
          </w:p>
        </w:tc>
      </w:tr>
      <w:tr w:rsidR="002839D0" w:rsidTr="0090063B">
        <w:tc>
          <w:tcPr>
            <w:tcW w:w="57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2839D0" w:rsidRPr="000A4681" w:rsidRDefault="002839D0" w:rsidP="002C69D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2839D0" w:rsidRPr="000A4681" w:rsidRDefault="002839D0" w:rsidP="00741F49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 xml:space="preserve">Support counselor in combining partially completed coursework to meet a requirement. </w:t>
            </w:r>
          </w:p>
        </w:tc>
        <w:tc>
          <w:tcPr>
            <w:tcW w:w="7182" w:type="dxa"/>
          </w:tcPr>
          <w:p w:rsidR="002839D0" w:rsidRPr="0022093E" w:rsidRDefault="002839D0" w:rsidP="002E610A">
            <w:pPr>
              <w:rPr>
                <w:rFonts w:ascii="Arial" w:hAnsi="Arial" w:cs="Arial"/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Consult student’s record in the Migrant Student Information System database.  Note partial work completed (“Unreported data, withdrawal processed”).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Verify credit for education in a previous state/country was fairly awarded as transfer credit to the student.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Ensure that as incoming credit is </w:t>
            </w:r>
            <w:proofErr w:type="spellStart"/>
            <w:r w:rsidRPr="0022093E">
              <w:rPr>
                <w:sz w:val="20"/>
                <w:szCs w:val="20"/>
              </w:rPr>
              <w:t>transcripted</w:t>
            </w:r>
            <w:proofErr w:type="spellEnd"/>
            <w:r w:rsidRPr="0022093E">
              <w:rPr>
                <w:sz w:val="20"/>
                <w:szCs w:val="20"/>
              </w:rPr>
              <w:t xml:space="preserve">, required HEC Board codes are added as appropriate.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Ensure counselor combines partial credits to satisfy graduation requirement(s).</w:t>
            </w:r>
          </w:p>
        </w:tc>
      </w:tr>
      <w:tr w:rsidR="00F73D35" w:rsidTr="0090063B">
        <w:trPr>
          <w:trHeight w:val="1493"/>
        </w:trPr>
        <w:tc>
          <w:tcPr>
            <w:tcW w:w="57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73D35" w:rsidRPr="00504706" w:rsidRDefault="00F73D35" w:rsidP="005047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04706">
              <w:rPr>
                <w:b/>
                <w:sz w:val="24"/>
                <w:szCs w:val="24"/>
              </w:rPr>
              <w:t>Collaboration and Advocacy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F73D35" w:rsidRPr="000A4681" w:rsidRDefault="00F73D35" w:rsidP="00741F49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 xml:space="preserve">Follow up on issues affecting academic achievement e.g. Is homework turned in daily and especially after excused absences?  Are teacher, parents, and students communicating? </w:t>
            </w:r>
          </w:p>
        </w:tc>
        <w:tc>
          <w:tcPr>
            <w:tcW w:w="7182" w:type="dxa"/>
          </w:tcPr>
          <w:p w:rsidR="00F73D35" w:rsidRPr="0022093E" w:rsidRDefault="00F73D35" w:rsidP="008423BC">
            <w:pPr>
              <w:rPr>
                <w:rFonts w:ascii="Arial" w:hAnsi="Arial" w:cs="Arial"/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Formally or informally meet with student to discuss academics.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Follow up with parent(s) and teacher(s) and ask if each party is satisfied with the level of communication amongst student, parent, and teachers.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Help student prepare for difficult conversations through role playing.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Ensure access to teacher and or other staff (as appropriate) to discuss issues/concerns i</w:t>
            </w:r>
            <w:r>
              <w:rPr>
                <w:sz w:val="20"/>
                <w:szCs w:val="20"/>
              </w:rPr>
              <w:t>mpacting academic achievements.</w:t>
            </w:r>
          </w:p>
        </w:tc>
      </w:tr>
      <w:tr w:rsidR="00F73D35" w:rsidTr="0090063B">
        <w:tc>
          <w:tcPr>
            <w:tcW w:w="57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F73D35" w:rsidRPr="000A4681" w:rsidRDefault="00F73D35" w:rsidP="00F73D3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BE5F1" w:themeFill="accent1" w:themeFillTint="33"/>
          </w:tcPr>
          <w:p w:rsidR="00F73D35" w:rsidRPr="000A4681" w:rsidRDefault="00F73D35" w:rsidP="000A4681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Interact with and advocate for individual student needs with instructors.</w:t>
            </w:r>
          </w:p>
        </w:tc>
        <w:tc>
          <w:tcPr>
            <w:tcW w:w="7182" w:type="dxa"/>
          </w:tcPr>
          <w:p w:rsidR="00F73D35" w:rsidRPr="00F73D35" w:rsidRDefault="00F73D35" w:rsidP="00504706">
            <w:pPr>
              <w:rPr>
                <w:sz w:val="20"/>
                <w:szCs w:val="20"/>
              </w:rPr>
            </w:pPr>
            <w:r w:rsidRPr="00F73D35">
              <w:rPr>
                <w:sz w:val="20"/>
                <w:szCs w:val="20"/>
              </w:rPr>
              <w:t xml:space="preserve">● Help teachers and other appropriate staff to understand the student’s unique academic needs resulting from high mobility and the migrant lifestyle.  ● Encourage instructors to accept make up work/missing assignments when student has excused (or unavoidable) absences.  </w:t>
            </w:r>
            <w:r w:rsidR="000A4681" w:rsidRPr="00F73D35">
              <w:rPr>
                <w:sz w:val="20"/>
                <w:szCs w:val="20"/>
              </w:rPr>
              <w:t xml:space="preserve">● </w:t>
            </w:r>
            <w:r w:rsidR="000A4681">
              <w:rPr>
                <w:sz w:val="20"/>
                <w:szCs w:val="20"/>
              </w:rPr>
              <w:t xml:space="preserve">Identify if instructor offers any </w:t>
            </w:r>
            <w:r w:rsidR="00504706">
              <w:rPr>
                <w:sz w:val="20"/>
                <w:szCs w:val="20"/>
              </w:rPr>
              <w:t xml:space="preserve">additional support for students e.g. </w:t>
            </w:r>
            <w:r w:rsidR="000A4681">
              <w:rPr>
                <w:sz w:val="20"/>
                <w:szCs w:val="20"/>
              </w:rPr>
              <w:t>one on one instruction time (before school, d</w:t>
            </w:r>
            <w:r w:rsidR="00504706">
              <w:rPr>
                <w:sz w:val="20"/>
                <w:szCs w:val="20"/>
              </w:rPr>
              <w:t>uring lunch, afterschool, extra credit assignments, etc.</w:t>
            </w:r>
          </w:p>
        </w:tc>
      </w:tr>
      <w:tr w:rsidR="00F73D35" w:rsidTr="0090063B">
        <w:tc>
          <w:tcPr>
            <w:tcW w:w="57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F73D35" w:rsidRPr="000A4681" w:rsidRDefault="00F73D35" w:rsidP="00F73D3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F73D35" w:rsidRPr="000A4681" w:rsidRDefault="00F73D35" w:rsidP="00F73D35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Conduct classroom Learning Walks to assess migrant student engagement, and collaborate with teacher and student.</w:t>
            </w:r>
          </w:p>
        </w:tc>
        <w:tc>
          <w:tcPr>
            <w:tcW w:w="7182" w:type="dxa"/>
          </w:tcPr>
          <w:p w:rsidR="00F73D35" w:rsidRPr="0022093E" w:rsidRDefault="00F73D35" w:rsidP="00B87FDF">
            <w:pPr>
              <w:rPr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Follow district etiquette or establish acceptable etiquette with instructors when conducting learning walks.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Follow up with student and ask meaningful questions (during or after) to assess </w:t>
            </w:r>
            <w:r w:rsidR="000A4681">
              <w:rPr>
                <w:sz w:val="20"/>
                <w:szCs w:val="20"/>
              </w:rPr>
              <w:t xml:space="preserve">level of student </w:t>
            </w:r>
            <w:r w:rsidRPr="0022093E">
              <w:rPr>
                <w:sz w:val="20"/>
                <w:szCs w:val="20"/>
              </w:rPr>
              <w:t xml:space="preserve">engagement.  Use real examples and observations.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Follow up with instructor/student: share learning walk outcomes, provide feedback and suggestions to increase</w:t>
            </w:r>
            <w:r w:rsidR="000A4681">
              <w:rPr>
                <w:sz w:val="20"/>
                <w:szCs w:val="20"/>
              </w:rPr>
              <w:t xml:space="preserve"> </w:t>
            </w:r>
            <w:r w:rsidRPr="0022093E">
              <w:rPr>
                <w:sz w:val="20"/>
                <w:szCs w:val="20"/>
              </w:rPr>
              <w:t>student engagement</w:t>
            </w:r>
            <w:r w:rsidR="00B87FDF">
              <w:rPr>
                <w:sz w:val="20"/>
                <w:szCs w:val="20"/>
              </w:rPr>
              <w:t xml:space="preserve"> e.g. recommended interventions, differentiated instruction methods to accommodate student learning style, note taking strategies, etc.</w:t>
            </w:r>
          </w:p>
        </w:tc>
      </w:tr>
      <w:tr w:rsidR="00F73D35" w:rsidTr="0090063B">
        <w:tc>
          <w:tcPr>
            <w:tcW w:w="57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F73D35" w:rsidRPr="000A4681" w:rsidRDefault="00F73D35" w:rsidP="00F73D3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F73D35" w:rsidRPr="000A4681" w:rsidRDefault="00F73D35" w:rsidP="00F73D35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 xml:space="preserve">Mentor students to understand relevance to learning. </w:t>
            </w:r>
          </w:p>
        </w:tc>
        <w:tc>
          <w:tcPr>
            <w:tcW w:w="7182" w:type="dxa"/>
          </w:tcPr>
          <w:p w:rsidR="00F73D35" w:rsidRPr="007F094A" w:rsidRDefault="00F73D35" w:rsidP="00504706">
            <w:pPr>
              <w:rPr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="000A4681">
              <w:rPr>
                <w:sz w:val="20"/>
                <w:szCs w:val="20"/>
              </w:rPr>
              <w:t xml:space="preserve"> </w:t>
            </w:r>
            <w:r w:rsidR="007F094A">
              <w:rPr>
                <w:sz w:val="20"/>
                <w:szCs w:val="20"/>
              </w:rPr>
              <w:t xml:space="preserve">Develop relationship with student through formal or informal interview to </w:t>
            </w:r>
            <w:proofErr w:type="gramStart"/>
            <w:r w:rsidR="007F094A">
              <w:rPr>
                <w:sz w:val="20"/>
                <w:szCs w:val="20"/>
              </w:rPr>
              <w:t>learn</w:t>
            </w:r>
            <w:proofErr w:type="gramEnd"/>
            <w:r w:rsidR="007F094A">
              <w:rPr>
                <w:sz w:val="20"/>
                <w:szCs w:val="20"/>
              </w:rPr>
              <w:t xml:space="preserve"> student family, interests, favorite academic subjects, goals, etc. </w:t>
            </w:r>
            <w:r>
              <w:rPr>
                <w:sz w:val="20"/>
                <w:szCs w:val="20"/>
              </w:rPr>
              <w:t xml:space="preserve">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</w:t>
            </w:r>
            <w:r w:rsidR="007F094A">
              <w:rPr>
                <w:sz w:val="20"/>
                <w:szCs w:val="20"/>
              </w:rPr>
              <w:t xml:space="preserve">Meet with student formally and informally to discuss how things are going for them and how they are progressing academically. </w:t>
            </w:r>
            <w:r w:rsidRPr="0022093E">
              <w:rPr>
                <w:sz w:val="20"/>
                <w:szCs w:val="20"/>
              </w:rPr>
              <w:t xml:space="preserve">Ask students meaningful questions to link academics to postsecondary goals e.g. What is the student currently studying in class?  Why is the content relevant to their academic/postsecondary, </w:t>
            </w:r>
            <w:proofErr w:type="spellStart"/>
            <w:r w:rsidRPr="0022093E">
              <w:rPr>
                <w:sz w:val="20"/>
                <w:szCs w:val="20"/>
              </w:rPr>
              <w:t>etc</w:t>
            </w:r>
            <w:proofErr w:type="spellEnd"/>
            <w:r w:rsidRPr="0022093E">
              <w:rPr>
                <w:sz w:val="20"/>
                <w:szCs w:val="20"/>
              </w:rPr>
              <w:t xml:space="preserve">?  </w:t>
            </w:r>
          </w:p>
        </w:tc>
      </w:tr>
      <w:tr w:rsidR="00F73D35" w:rsidTr="0090063B">
        <w:tc>
          <w:tcPr>
            <w:tcW w:w="573" w:type="dxa"/>
            <w:vMerge/>
            <w:shd w:val="clear" w:color="auto" w:fill="B8CCE4" w:themeFill="accent1" w:themeFillTint="66"/>
            <w:textDirection w:val="btLr"/>
            <w:vAlign w:val="center"/>
          </w:tcPr>
          <w:p w:rsidR="00F73D35" w:rsidRPr="000A4681" w:rsidRDefault="00F73D35" w:rsidP="00F73D3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F73D35" w:rsidRPr="000A4681" w:rsidRDefault="00F73D35" w:rsidP="00F73D35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Refer students to tutoring programs.</w:t>
            </w:r>
          </w:p>
        </w:tc>
        <w:tc>
          <w:tcPr>
            <w:tcW w:w="7182" w:type="dxa"/>
          </w:tcPr>
          <w:p w:rsidR="00F73D35" w:rsidRPr="00F73D35" w:rsidRDefault="00F73D35" w:rsidP="00F73D35">
            <w:pPr>
              <w:rPr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Collaborate with counselor and teachers to identify supplemental instructional support needs.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Coordinate student access to available district and/or community tutoring services.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73D35" w:rsidTr="0090063B">
        <w:tc>
          <w:tcPr>
            <w:tcW w:w="57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73D35" w:rsidRPr="00504706" w:rsidRDefault="00F73D35" w:rsidP="00B87FDF">
            <w:pPr>
              <w:ind w:left="115" w:right="115"/>
              <w:jc w:val="center"/>
              <w:rPr>
                <w:b/>
              </w:rPr>
            </w:pPr>
            <w:r w:rsidRPr="00504706">
              <w:rPr>
                <w:b/>
              </w:rPr>
              <w:t xml:space="preserve">High School and Beyond/ </w:t>
            </w:r>
            <w:r w:rsidR="00504706">
              <w:rPr>
                <w:b/>
              </w:rPr>
              <w:t xml:space="preserve">  </w:t>
            </w:r>
            <w:r w:rsidRPr="00504706">
              <w:rPr>
                <w:b/>
              </w:rPr>
              <w:t>Plan of Action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F73D35" w:rsidRPr="000A4681" w:rsidRDefault="00F73D35" w:rsidP="00B87FDF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Utilize the High School and Beyond Plan or Migrant Student Plan of Action to student with student and family to understand graduation requirements and postsecondary goals (see plan.)</w:t>
            </w:r>
          </w:p>
        </w:tc>
        <w:tc>
          <w:tcPr>
            <w:tcW w:w="7182" w:type="dxa"/>
          </w:tcPr>
          <w:p w:rsidR="00F73D35" w:rsidRPr="000A4681" w:rsidRDefault="00F73D35" w:rsidP="007F094A">
            <w:pPr>
              <w:rPr>
                <w:rFonts w:ascii="Arial" w:hAnsi="Arial" w:cs="Arial"/>
                <w:sz w:val="20"/>
                <w:szCs w:val="20"/>
              </w:rPr>
            </w:pPr>
            <w:r w:rsidRPr="000A4681">
              <w:rPr>
                <w:rFonts w:ascii="Arial" w:hAnsi="Arial" w:cs="Arial"/>
                <w:sz w:val="20"/>
                <w:szCs w:val="20"/>
              </w:rPr>
              <w:t>●</w:t>
            </w:r>
            <w:r w:rsidRPr="000A4681">
              <w:rPr>
                <w:sz w:val="20"/>
                <w:szCs w:val="20"/>
              </w:rPr>
              <w:t xml:space="preserve"> </w:t>
            </w:r>
            <w:r w:rsidR="00504706">
              <w:rPr>
                <w:sz w:val="20"/>
                <w:szCs w:val="20"/>
              </w:rPr>
              <w:t xml:space="preserve">Ask student or sending school for portfolio and progress of culminating project.      </w:t>
            </w:r>
            <w:r w:rsidR="00504706" w:rsidRPr="000A4681">
              <w:rPr>
                <w:rFonts w:ascii="Arial" w:hAnsi="Arial" w:cs="Arial"/>
                <w:sz w:val="20"/>
                <w:szCs w:val="20"/>
              </w:rPr>
              <w:t>●</w:t>
            </w:r>
            <w:r w:rsidR="00504706" w:rsidRPr="000A4681">
              <w:rPr>
                <w:sz w:val="20"/>
                <w:szCs w:val="20"/>
              </w:rPr>
              <w:t xml:space="preserve"> </w:t>
            </w:r>
            <w:r w:rsidRPr="000A4681">
              <w:rPr>
                <w:sz w:val="20"/>
                <w:szCs w:val="20"/>
              </w:rPr>
              <w:t xml:space="preserve">Ensure student and family possess and thoroughly understand the written high school graduation plan and the importance of following it in successive enrollments based on remaining graduation requirements. </w:t>
            </w:r>
            <w:r w:rsidR="007F094A" w:rsidRPr="000A4681">
              <w:rPr>
                <w:rFonts w:ascii="Arial" w:hAnsi="Arial" w:cs="Arial"/>
                <w:sz w:val="20"/>
                <w:szCs w:val="20"/>
              </w:rPr>
              <w:t>●</w:t>
            </w:r>
            <w:r w:rsidR="007F094A" w:rsidRPr="000A4681">
              <w:rPr>
                <w:sz w:val="20"/>
                <w:szCs w:val="20"/>
              </w:rPr>
              <w:t xml:space="preserve"> </w:t>
            </w:r>
            <w:r w:rsidR="007F094A">
              <w:rPr>
                <w:sz w:val="20"/>
                <w:szCs w:val="20"/>
              </w:rPr>
              <w:t>Encourage family to use as a tool to advocate for proper placement in other schools.</w:t>
            </w:r>
            <w:r w:rsidRPr="000A4681">
              <w:rPr>
                <w:sz w:val="20"/>
                <w:szCs w:val="20"/>
              </w:rPr>
              <w:t xml:space="preserve"> </w:t>
            </w:r>
            <w:r w:rsidRPr="000A4681">
              <w:rPr>
                <w:rFonts w:ascii="Arial" w:hAnsi="Arial" w:cs="Arial"/>
                <w:sz w:val="20"/>
                <w:szCs w:val="20"/>
              </w:rPr>
              <w:t>●</w:t>
            </w:r>
            <w:r w:rsidRPr="000A4681">
              <w:rPr>
                <w:sz w:val="20"/>
                <w:szCs w:val="20"/>
              </w:rPr>
              <w:t xml:space="preserve"> </w:t>
            </w:r>
            <w:r w:rsidR="007F094A">
              <w:rPr>
                <w:sz w:val="20"/>
                <w:szCs w:val="20"/>
              </w:rPr>
              <w:t xml:space="preserve">Identify with family how </w:t>
            </w:r>
            <w:r w:rsidRPr="000A4681">
              <w:rPr>
                <w:sz w:val="20"/>
                <w:szCs w:val="20"/>
              </w:rPr>
              <w:t>the</w:t>
            </w:r>
            <w:r w:rsidR="007F094A">
              <w:rPr>
                <w:sz w:val="20"/>
                <w:szCs w:val="20"/>
              </w:rPr>
              <w:t xml:space="preserve">y can </w:t>
            </w:r>
            <w:r w:rsidRPr="000A4681">
              <w:rPr>
                <w:sz w:val="20"/>
                <w:szCs w:val="20"/>
              </w:rPr>
              <w:t>help the student avoid future credit deficiencies (homework, attendance, grades).</w:t>
            </w:r>
          </w:p>
        </w:tc>
      </w:tr>
      <w:tr w:rsidR="00F73D35" w:rsidTr="0090063B">
        <w:trPr>
          <w:trHeight w:val="1318"/>
        </w:trPr>
        <w:tc>
          <w:tcPr>
            <w:tcW w:w="573" w:type="dxa"/>
            <w:vMerge/>
            <w:shd w:val="clear" w:color="auto" w:fill="B8CCE4" w:themeFill="accent1" w:themeFillTint="66"/>
          </w:tcPr>
          <w:p w:rsidR="00F73D35" w:rsidRPr="00504706" w:rsidRDefault="00F73D35" w:rsidP="00B87F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DBE5F1" w:themeFill="accent1" w:themeFillTint="33"/>
          </w:tcPr>
          <w:p w:rsidR="00F73D35" w:rsidRPr="000A4681" w:rsidRDefault="00F73D35" w:rsidP="00B87FDF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Ensure migrant student plan of action aligns with scheduling, High School and Beyond Plan, and placement decisions.</w:t>
            </w:r>
          </w:p>
        </w:tc>
        <w:tc>
          <w:tcPr>
            <w:tcW w:w="7182" w:type="dxa"/>
          </w:tcPr>
          <w:p w:rsidR="00F73D35" w:rsidRPr="000A4681" w:rsidRDefault="00F73D35" w:rsidP="007F094A">
            <w:pPr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● Ask to see student’s High School and Beyond Plan</w:t>
            </w:r>
            <w:r w:rsidR="007F094A">
              <w:rPr>
                <w:sz w:val="20"/>
                <w:szCs w:val="20"/>
              </w:rPr>
              <w:t xml:space="preserve"> and ask student if the plan still includes the intended school of graduation.</w:t>
            </w:r>
            <w:r w:rsidRPr="000A4681">
              <w:rPr>
                <w:sz w:val="20"/>
                <w:szCs w:val="20"/>
              </w:rPr>
              <w:t xml:space="preserve">  ● Ensure </w:t>
            </w:r>
            <w:r w:rsidR="007F094A">
              <w:rPr>
                <w:sz w:val="20"/>
                <w:szCs w:val="20"/>
              </w:rPr>
              <w:t xml:space="preserve">proper </w:t>
            </w:r>
            <w:r w:rsidRPr="000A4681">
              <w:rPr>
                <w:sz w:val="20"/>
                <w:szCs w:val="20"/>
              </w:rPr>
              <w:t xml:space="preserve">graduation requirements are documented in the </w:t>
            </w:r>
            <w:r w:rsidR="007F094A">
              <w:rPr>
                <w:sz w:val="20"/>
                <w:szCs w:val="20"/>
              </w:rPr>
              <w:t>p</w:t>
            </w:r>
            <w:r w:rsidRPr="000A4681">
              <w:rPr>
                <w:sz w:val="20"/>
                <w:szCs w:val="20"/>
              </w:rPr>
              <w:t>lan.  ● Utilize the High School and Beyond Plan as the foundation of the Migrant Student Plan of Action.  When plan does not exist, help student &amp; family participate in developing a Migrant Student Plan of Action.</w:t>
            </w:r>
          </w:p>
        </w:tc>
      </w:tr>
      <w:tr w:rsidR="00F73D35" w:rsidTr="0090063B">
        <w:trPr>
          <w:trHeight w:val="1345"/>
        </w:trPr>
        <w:tc>
          <w:tcPr>
            <w:tcW w:w="573" w:type="dxa"/>
            <w:shd w:val="clear" w:color="auto" w:fill="B8CCE4" w:themeFill="accent1" w:themeFillTint="66"/>
            <w:textDirection w:val="btLr"/>
            <w:vAlign w:val="center"/>
          </w:tcPr>
          <w:p w:rsidR="00F73D35" w:rsidRPr="004F6E62" w:rsidRDefault="00F73D35" w:rsidP="002C69D9">
            <w:pPr>
              <w:ind w:left="113" w:right="113"/>
              <w:jc w:val="center"/>
              <w:rPr>
                <w:b/>
              </w:rPr>
            </w:pPr>
            <w:r w:rsidRPr="004F6E62">
              <w:rPr>
                <w:b/>
              </w:rPr>
              <w:t>Withdrawal</w:t>
            </w:r>
          </w:p>
        </w:tc>
        <w:tc>
          <w:tcPr>
            <w:tcW w:w="3225" w:type="dxa"/>
            <w:shd w:val="clear" w:color="auto" w:fill="DBE5F1" w:themeFill="accent1" w:themeFillTint="33"/>
            <w:vAlign w:val="center"/>
          </w:tcPr>
          <w:p w:rsidR="00F73D35" w:rsidRPr="000A4681" w:rsidRDefault="00F73D35" w:rsidP="00741F49">
            <w:pPr>
              <w:jc w:val="center"/>
              <w:rPr>
                <w:sz w:val="20"/>
                <w:szCs w:val="20"/>
              </w:rPr>
            </w:pPr>
            <w:r w:rsidRPr="000A4681">
              <w:rPr>
                <w:sz w:val="20"/>
                <w:szCs w:val="20"/>
              </w:rPr>
              <w:t>Ensure that seat hours and exit grades are documented when student formally or informally withdraws from school.</w:t>
            </w:r>
          </w:p>
        </w:tc>
        <w:tc>
          <w:tcPr>
            <w:tcW w:w="7182" w:type="dxa"/>
          </w:tcPr>
          <w:p w:rsidR="00F73D35" w:rsidRPr="0022093E" w:rsidRDefault="00F73D35" w:rsidP="00B87FDF">
            <w:pPr>
              <w:rPr>
                <w:sz w:val="20"/>
                <w:szCs w:val="20"/>
              </w:rPr>
            </w:pPr>
            <w:r w:rsidRPr="0022093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22093E">
              <w:rPr>
                <w:sz w:val="20"/>
                <w:szCs w:val="20"/>
              </w:rPr>
              <w:t xml:space="preserve">Request exit grades on a withdrawal form.  </w:t>
            </w:r>
            <w:r w:rsidRPr="0022093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22093E">
              <w:rPr>
                <w:sz w:val="20"/>
                <w:szCs w:val="20"/>
              </w:rPr>
              <w:t xml:space="preserve">Ask for course syllabi.  </w:t>
            </w:r>
            <w:r w:rsidRPr="0022093E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22093E">
              <w:rPr>
                <w:sz w:val="20"/>
                <w:szCs w:val="20"/>
              </w:rPr>
              <w:t xml:space="preserve">Identify options to complete the work now.  </w:t>
            </w:r>
            <w:r w:rsidRPr="0022093E">
              <w:rPr>
                <w:rFonts w:ascii="Arial" w:hAnsi="Arial" w:cs="Arial"/>
                <w:sz w:val="20"/>
                <w:szCs w:val="20"/>
              </w:rPr>
              <w:t>●</w:t>
            </w:r>
            <w:r w:rsidRPr="0022093E">
              <w:rPr>
                <w:sz w:val="20"/>
                <w:szCs w:val="20"/>
              </w:rPr>
              <w:t xml:space="preserve"> Ensure all partial or full credit earned is documented on transcript.</w:t>
            </w:r>
            <w:r w:rsidR="00B87FDF" w:rsidRPr="0022093E">
              <w:rPr>
                <w:rFonts w:ascii="Arial" w:hAnsi="Arial" w:cs="Arial"/>
                <w:sz w:val="20"/>
                <w:szCs w:val="20"/>
              </w:rPr>
              <w:t xml:space="preserve"> ●</w:t>
            </w:r>
            <w:r w:rsidR="00B87FDF" w:rsidRPr="0022093E">
              <w:rPr>
                <w:sz w:val="20"/>
                <w:szCs w:val="20"/>
              </w:rPr>
              <w:t xml:space="preserve"> </w:t>
            </w:r>
            <w:r w:rsidR="00B87FDF">
              <w:rPr>
                <w:sz w:val="20"/>
                <w:szCs w:val="20"/>
              </w:rPr>
              <w:t xml:space="preserve">Help the family obtain the needed </w:t>
            </w:r>
            <w:proofErr w:type="spellStart"/>
            <w:r w:rsidR="00B87FDF">
              <w:rPr>
                <w:sz w:val="20"/>
                <w:szCs w:val="20"/>
              </w:rPr>
              <w:t>Binational</w:t>
            </w:r>
            <w:proofErr w:type="spellEnd"/>
            <w:r w:rsidR="00B87FDF">
              <w:rPr>
                <w:sz w:val="20"/>
                <w:szCs w:val="20"/>
              </w:rPr>
              <w:t xml:space="preserve"> Transfer Agreement or </w:t>
            </w:r>
            <w:proofErr w:type="spellStart"/>
            <w:r w:rsidR="00B87FDF">
              <w:rPr>
                <w:sz w:val="20"/>
                <w:szCs w:val="20"/>
              </w:rPr>
              <w:t>Apostille</w:t>
            </w:r>
            <w:proofErr w:type="spellEnd"/>
            <w:r w:rsidR="00B87FDF">
              <w:rPr>
                <w:sz w:val="20"/>
                <w:szCs w:val="20"/>
              </w:rPr>
              <w:t xml:space="preserve"> to accompany a Washington school transcript for acceptance in Mexico (Mexican Consulate).</w:t>
            </w:r>
          </w:p>
        </w:tc>
      </w:tr>
    </w:tbl>
    <w:p w:rsidR="004F307C" w:rsidRDefault="004F307C" w:rsidP="00504706"/>
    <w:sectPr w:rsidR="004F307C" w:rsidSect="00A648E1">
      <w:headerReference w:type="default" r:id="rId8"/>
      <w:footerReference w:type="default" r:id="rId9"/>
      <w:pgSz w:w="12240" w:h="15840"/>
      <w:pgMar w:top="634" w:right="1152" w:bottom="540" w:left="1152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81" w:rsidRDefault="00436A81" w:rsidP="002C69D9">
      <w:pPr>
        <w:spacing w:after="0" w:line="240" w:lineRule="auto"/>
      </w:pPr>
      <w:r>
        <w:separator/>
      </w:r>
    </w:p>
  </w:endnote>
  <w:endnote w:type="continuationSeparator" w:id="0">
    <w:p w:rsidR="00436A81" w:rsidRDefault="00436A81" w:rsidP="002C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9"/>
      <w:gridCol w:w="1017"/>
    </w:tblGrid>
    <w:tr w:rsidR="00436A81">
      <w:tc>
        <w:tcPr>
          <w:tcW w:w="4500" w:type="pct"/>
          <w:tcBorders>
            <w:top w:val="single" w:sz="4" w:space="0" w:color="000000" w:themeColor="text1"/>
          </w:tcBorders>
        </w:tcPr>
        <w:p w:rsidR="00436A81" w:rsidRPr="002C69D9" w:rsidRDefault="00436A81" w:rsidP="00504706">
          <w:pPr>
            <w:pStyle w:val="Footer"/>
            <w:jc w:val="right"/>
            <w:rPr>
              <w:sz w:val="20"/>
              <w:szCs w:val="20"/>
            </w:rPr>
          </w:pPr>
          <w:r w:rsidRPr="002C69D9">
            <w:rPr>
              <w:sz w:val="20"/>
              <w:szCs w:val="20"/>
            </w:rPr>
            <w:t>Secondary Education for Migrant Youth  (509) 836-</w:t>
          </w:r>
          <w:r>
            <w:rPr>
              <w:sz w:val="20"/>
              <w:szCs w:val="20"/>
            </w:rPr>
            <w:t>7500   rev 10/22/12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36A81" w:rsidRDefault="00436A8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64BA" w:rsidRPr="00F764B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36A81" w:rsidRDefault="00436A81" w:rsidP="002C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81" w:rsidRDefault="00436A81" w:rsidP="002C69D9">
      <w:pPr>
        <w:spacing w:after="0" w:line="240" w:lineRule="auto"/>
      </w:pPr>
      <w:r>
        <w:separator/>
      </w:r>
    </w:p>
  </w:footnote>
  <w:footnote w:type="continuationSeparator" w:id="0">
    <w:p w:rsidR="00436A81" w:rsidRDefault="00436A81" w:rsidP="002C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25CA451BA61B464FB03BD9DC429D4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A81" w:rsidRPr="002C69D9" w:rsidRDefault="00436A81" w:rsidP="000A4681">
        <w:pPr>
          <w:pStyle w:val="Header"/>
          <w:pBdr>
            <w:bottom w:val="thickThinSmallGap" w:sz="24" w:space="1" w:color="622423" w:themeColor="accent2" w:themeShade="7F"/>
          </w:pBdr>
          <w:ind w:left="-540" w:right="-504"/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ACADEMIC GUIDANCE IN ACTION</w:t>
        </w:r>
        <w:r w:rsidR="00F764BA">
          <w:rPr>
            <w:rFonts w:eastAsiaTheme="majorEastAsia" w:cstheme="majorBidi"/>
            <w:sz w:val="32"/>
            <w:szCs w:val="32"/>
          </w:rPr>
          <w:t xml:space="preserve"> - DRAFT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D9"/>
    <w:rsid w:val="000A04C7"/>
    <w:rsid w:val="000A4681"/>
    <w:rsid w:val="000F2B77"/>
    <w:rsid w:val="00185776"/>
    <w:rsid w:val="001B504E"/>
    <w:rsid w:val="001D26A5"/>
    <w:rsid w:val="0022093E"/>
    <w:rsid w:val="00274219"/>
    <w:rsid w:val="00280031"/>
    <w:rsid w:val="002839D0"/>
    <w:rsid w:val="002A51B8"/>
    <w:rsid w:val="002C1685"/>
    <w:rsid w:val="002C69D9"/>
    <w:rsid w:val="002C763D"/>
    <w:rsid w:val="002E610A"/>
    <w:rsid w:val="002F0DBA"/>
    <w:rsid w:val="0032238E"/>
    <w:rsid w:val="003369BC"/>
    <w:rsid w:val="003A7E1B"/>
    <w:rsid w:val="00436A81"/>
    <w:rsid w:val="004A2982"/>
    <w:rsid w:val="004F307C"/>
    <w:rsid w:val="004F6E62"/>
    <w:rsid w:val="00504706"/>
    <w:rsid w:val="00516F83"/>
    <w:rsid w:val="00562210"/>
    <w:rsid w:val="00585703"/>
    <w:rsid w:val="005C1051"/>
    <w:rsid w:val="005E10C1"/>
    <w:rsid w:val="00615952"/>
    <w:rsid w:val="00663425"/>
    <w:rsid w:val="006D67A2"/>
    <w:rsid w:val="006E6E46"/>
    <w:rsid w:val="006F11C5"/>
    <w:rsid w:val="00722952"/>
    <w:rsid w:val="00741F49"/>
    <w:rsid w:val="00780D14"/>
    <w:rsid w:val="007E278A"/>
    <w:rsid w:val="007F094A"/>
    <w:rsid w:val="008423BC"/>
    <w:rsid w:val="008510FB"/>
    <w:rsid w:val="008A2A56"/>
    <w:rsid w:val="008A7568"/>
    <w:rsid w:val="0090063B"/>
    <w:rsid w:val="009548B7"/>
    <w:rsid w:val="00974D7D"/>
    <w:rsid w:val="009B28D4"/>
    <w:rsid w:val="009C623F"/>
    <w:rsid w:val="009C67C1"/>
    <w:rsid w:val="00A648E1"/>
    <w:rsid w:val="00A75B05"/>
    <w:rsid w:val="00A91542"/>
    <w:rsid w:val="00B655EF"/>
    <w:rsid w:val="00B71DC0"/>
    <w:rsid w:val="00B87FDF"/>
    <w:rsid w:val="00BB0431"/>
    <w:rsid w:val="00BC6427"/>
    <w:rsid w:val="00CB0472"/>
    <w:rsid w:val="00D42523"/>
    <w:rsid w:val="00D97AE1"/>
    <w:rsid w:val="00EE46CE"/>
    <w:rsid w:val="00F07256"/>
    <w:rsid w:val="00F140F8"/>
    <w:rsid w:val="00F545CC"/>
    <w:rsid w:val="00F73D35"/>
    <w:rsid w:val="00F764BA"/>
    <w:rsid w:val="00FA4802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D9"/>
  </w:style>
  <w:style w:type="paragraph" w:styleId="Footer">
    <w:name w:val="footer"/>
    <w:basedOn w:val="Normal"/>
    <w:link w:val="FooterChar"/>
    <w:uiPriority w:val="99"/>
    <w:unhideWhenUsed/>
    <w:rsid w:val="002C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D9"/>
  </w:style>
  <w:style w:type="paragraph" w:styleId="BalloonText">
    <w:name w:val="Balloon Text"/>
    <w:basedOn w:val="Normal"/>
    <w:link w:val="BalloonTextChar"/>
    <w:uiPriority w:val="99"/>
    <w:semiHidden/>
    <w:unhideWhenUsed/>
    <w:rsid w:val="002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D9"/>
  </w:style>
  <w:style w:type="paragraph" w:styleId="Footer">
    <w:name w:val="footer"/>
    <w:basedOn w:val="Normal"/>
    <w:link w:val="FooterChar"/>
    <w:uiPriority w:val="99"/>
    <w:unhideWhenUsed/>
    <w:rsid w:val="002C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D9"/>
  </w:style>
  <w:style w:type="paragraph" w:styleId="BalloonText">
    <w:name w:val="Balloon Text"/>
    <w:basedOn w:val="Normal"/>
    <w:link w:val="BalloonTextChar"/>
    <w:uiPriority w:val="99"/>
    <w:semiHidden/>
    <w:unhideWhenUsed/>
    <w:rsid w:val="002C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A451BA61B464FB03BD9DC429D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D364-6C16-445C-81FD-3EA8805A51CE}"/>
      </w:docPartPr>
      <w:docPartBody>
        <w:p w:rsidR="00004004" w:rsidRDefault="00004004" w:rsidP="00004004">
          <w:pPr>
            <w:pStyle w:val="25CA451BA61B464FB03BD9DC429D4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4004"/>
    <w:rsid w:val="00004004"/>
    <w:rsid w:val="000A3A62"/>
    <w:rsid w:val="001004F7"/>
    <w:rsid w:val="00470E61"/>
    <w:rsid w:val="005C7D9F"/>
    <w:rsid w:val="00D50A26"/>
    <w:rsid w:val="00EB5773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A451BA61B464FB03BD9DC429D4C9F">
    <w:name w:val="25CA451BA61B464FB03BD9DC429D4C9F"/>
    <w:rsid w:val="00004004"/>
  </w:style>
  <w:style w:type="paragraph" w:customStyle="1" w:styleId="C1041A3E7B52437DAA9AE3B508F334CE">
    <w:name w:val="C1041A3E7B52437DAA9AE3B508F334CE"/>
    <w:rsid w:val="000040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3D08-CF8C-450A-887C-D1D5B02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GUIDANCE IN ACTION</vt:lpstr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GUIDANCE IN ACTION - DRAFT</dc:title>
  <dc:creator>Carol</dc:creator>
  <cp:lastModifiedBy>Heather Mendoza</cp:lastModifiedBy>
  <cp:revision>15</cp:revision>
  <cp:lastPrinted>2012-10-08T22:21:00Z</cp:lastPrinted>
  <dcterms:created xsi:type="dcterms:W3CDTF">2012-10-22T23:08:00Z</dcterms:created>
  <dcterms:modified xsi:type="dcterms:W3CDTF">2012-10-23T23:36:00Z</dcterms:modified>
</cp:coreProperties>
</file>