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368"/>
        <w:gridCol w:w="3744"/>
        <w:gridCol w:w="3744"/>
      </w:tblGrid>
      <w:tr w:rsidR="006E530B" w:rsidTr="006E530B">
        <w:tblPrEx>
          <w:tblCellMar>
            <w:top w:w="0" w:type="dxa"/>
            <w:bottom w:w="0" w:type="dxa"/>
          </w:tblCellMar>
        </w:tblPrEx>
        <w:trPr>
          <w:trHeight w:val="4000"/>
        </w:trPr>
        <w:tc>
          <w:tcPr>
            <w:tcW w:w="1368" w:type="dxa"/>
          </w:tcPr>
          <w:p w:rsidR="006E530B" w:rsidRDefault="006E530B">
            <w:bookmarkStart w:id="0" w:name="_GoBack"/>
            <w:bookmarkEnd w:id="0"/>
            <w:r>
              <w:t>Slide 1</w:t>
            </w:r>
          </w:p>
        </w:tc>
        <w:tc>
          <w:tcPr>
            <w:tcW w:w="3744" w:type="dxa"/>
          </w:tcPr>
          <w:p w:rsidR="006E530B" w:rsidRDefault="006E530B">
            <w: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461320448" r:id="rId6"/>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Intro:  we will walk you through all of the components of a sample lesson.</w:t>
            </w:r>
          </w:p>
          <w:p w:rsidR="006E530B" w:rsidRDefault="006E530B" w:rsidP="006E530B">
            <w:pPr>
              <w:autoSpaceDE w:val="0"/>
              <w:autoSpaceDN w:val="0"/>
              <w:adjustRightInd w:val="0"/>
              <w:rPr>
                <w:rFonts w:ascii="Calibri" w:hAnsi="Calibri" w:cs="Calibri"/>
                <w:b/>
                <w:bCs/>
                <w:color w:val="FF0000"/>
                <w:kern w:val="24"/>
              </w:rPr>
            </w:pPr>
            <w:r>
              <w:rPr>
                <w:rFonts w:ascii="Calibri" w:hAnsi="Calibri" w:cs="Calibri"/>
                <w:kern w:val="24"/>
              </w:rPr>
              <w:t xml:space="preserve">The sample we have chosen to use for this walkthrough is </w:t>
            </w:r>
            <w:r>
              <w:rPr>
                <w:rFonts w:ascii="Calibri" w:hAnsi="Calibri" w:cs="Calibri"/>
                <w:b/>
                <w:bCs/>
                <w:color w:val="FF0000"/>
                <w:kern w:val="24"/>
              </w:rPr>
              <w:t>Grade Band 5-6, Unit 1, Lesson 1</w:t>
            </w:r>
          </w:p>
          <w:p w:rsidR="006E530B" w:rsidRDefault="006E530B" w:rsidP="006E530B">
            <w:pPr>
              <w:autoSpaceDE w:val="0"/>
              <w:autoSpaceDN w:val="0"/>
              <w:adjustRightInd w:val="0"/>
              <w:rPr>
                <w:rFonts w:ascii="Calibri" w:hAnsi="Calibri" w:cs="Calibri"/>
                <w:kern w:val="24"/>
              </w:rPr>
            </w:pPr>
            <w:r>
              <w:rPr>
                <w:rFonts w:ascii="Calibri" w:hAnsi="Calibri" w:cs="Calibri"/>
                <w:kern w:val="24"/>
              </w:rPr>
              <w:t>You will have time to peruse your own grade band later in the training</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2</w:t>
            </w:r>
          </w:p>
        </w:tc>
        <w:tc>
          <w:tcPr>
            <w:tcW w:w="3744" w:type="dxa"/>
          </w:tcPr>
          <w:p w:rsidR="006E530B" w:rsidRDefault="006E530B">
            <w:r>
              <w:object w:dxaOrig="7191" w:dyaOrig="5399">
                <v:shape id="_x0000_i1031" type="#_x0000_t75" style="width:162pt;height:121.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31" DrawAspect="Content" ObjectID="_1461320449" r:id="rId8"/>
              </w:object>
            </w:r>
          </w:p>
        </w:tc>
        <w:tc>
          <w:tcPr>
            <w:tcW w:w="3744" w:type="dxa"/>
          </w:tcPr>
          <w:p w:rsidR="006E530B" w:rsidRDefault="006E530B" w:rsidP="006E530B">
            <w:pPr>
              <w:autoSpaceDE w:val="0"/>
              <w:autoSpaceDN w:val="0"/>
              <w:adjustRightInd w:val="0"/>
              <w:rPr>
                <w:rFonts w:ascii="Calibri" w:hAnsi="Calibri" w:cs="Calibri"/>
                <w:kern w:val="24"/>
                <w:sz w:val="28"/>
                <w:szCs w:val="28"/>
                <w:vertAlign w:val="superscript"/>
              </w:rPr>
            </w:pPr>
            <w:r>
              <w:rPr>
                <w:rFonts w:ascii="Calibri" w:hAnsi="Calibri" w:cs="Calibri"/>
                <w:kern w:val="24"/>
                <w:sz w:val="28"/>
                <w:szCs w:val="28"/>
                <w:vertAlign w:val="superscript"/>
              </w:rPr>
              <w:t>After the Daily Routines, you’ll move into the Classroom Lesson. There are two parts to the Classroom Lesson - the balanced literacy lesson and the transition to math. The language lesson (60-75 minutes) develops listening, speaking, reading, and writing skills based on a literature reading. The transition to math section (15-30 minutes) introduces math skills of the following TV Lesson OR reinforces math skills from previous lessons.</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3</w:t>
            </w:r>
          </w:p>
        </w:tc>
        <w:tc>
          <w:tcPr>
            <w:tcW w:w="3744" w:type="dxa"/>
          </w:tcPr>
          <w:p w:rsidR="006E530B" w:rsidRDefault="006E530B">
            <w:r>
              <w:object w:dxaOrig="7191" w:dyaOrig="5399">
                <v:shape id="_x0000_i1037" type="#_x0000_t75" style="width:162pt;height:12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7" DrawAspect="Content" ObjectID="_1461320450" r:id="rId10"/>
              </w:object>
            </w:r>
          </w:p>
        </w:tc>
        <w:tc>
          <w:tcPr>
            <w:tcW w:w="3744" w:type="dxa"/>
          </w:tcPr>
          <w:p w:rsidR="006E530B" w:rsidRDefault="006E530B"/>
        </w:tc>
      </w:tr>
      <w:tr w:rsidR="006E530B" w:rsidTr="006E530B">
        <w:tblPrEx>
          <w:tblCellMar>
            <w:top w:w="0" w:type="dxa"/>
            <w:bottom w:w="0" w:type="dxa"/>
          </w:tblCellMar>
        </w:tblPrEx>
        <w:trPr>
          <w:trHeight w:val="4000"/>
        </w:trPr>
        <w:tc>
          <w:tcPr>
            <w:tcW w:w="1368" w:type="dxa"/>
          </w:tcPr>
          <w:p w:rsidR="006E530B" w:rsidRDefault="006E530B">
            <w:r>
              <w:lastRenderedPageBreak/>
              <w:t>Slide 4</w:t>
            </w:r>
          </w:p>
        </w:tc>
        <w:tc>
          <w:tcPr>
            <w:tcW w:w="3744" w:type="dxa"/>
          </w:tcPr>
          <w:p w:rsidR="006E530B" w:rsidRDefault="006E530B">
            <w:r>
              <w:object w:dxaOrig="7191" w:dyaOrig="5399">
                <v:shape id="_x0000_i1042" type="#_x0000_t75" style="width:162pt;height:12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42" DrawAspect="Content" ObjectID="_1461320451" r:id="rId12"/>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This year, there will be a Unit Writing Workshop every TWO units. This will allow students time to review, edit, and revise their writing. For grades 5-6, the Unit Writing Workshop for Units 1 and 2 will focus on the “how to” that fosters the students’ innovative entrepreneurship. Units 3-4 will focus on the creative rewriting of a folktale, and poetry will be the focus for Units 5-6.</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5</w:t>
            </w:r>
          </w:p>
        </w:tc>
        <w:tc>
          <w:tcPr>
            <w:tcW w:w="3744" w:type="dxa"/>
          </w:tcPr>
          <w:p w:rsidR="006E530B" w:rsidRDefault="006E530B">
            <w:r>
              <w:object w:dxaOrig="7191" w:dyaOrig="5399">
                <v:shape id="_x0000_i1048" type="#_x0000_t75" style="width:162pt;height:12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8" DrawAspect="Content" ObjectID="_1461320452" r:id="rId14"/>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(Walk the participants through the Classroom Lesson modeling appropriate instructional strategies.)</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6</w:t>
            </w:r>
          </w:p>
        </w:tc>
        <w:tc>
          <w:tcPr>
            <w:tcW w:w="3744" w:type="dxa"/>
          </w:tcPr>
          <w:p w:rsidR="006E530B" w:rsidRDefault="006E530B">
            <w:r>
              <w:object w:dxaOrig="7191" w:dyaOrig="5399">
                <v:shape id="_x0000_i1054" type="#_x0000_t75" style="width:162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54" DrawAspect="Content" ObjectID="_1461320453" r:id="rId16"/>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(Ask participants to work in groups at their tables to identify strategies that were modeled in the Classroom Lesson or Daily Routine</w:t>
            </w:r>
            <w:proofErr w:type="gramStart"/>
            <w:r>
              <w:rPr>
                <w:rFonts w:ascii="Calibri" w:hAnsi="Calibri" w:cs="Calibri"/>
                <w:kern w:val="24"/>
              </w:rPr>
              <w:t>. )</w:t>
            </w:r>
            <w:proofErr w:type="gramEnd"/>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lastRenderedPageBreak/>
              <w:t>Slide 7</w:t>
            </w:r>
          </w:p>
        </w:tc>
        <w:tc>
          <w:tcPr>
            <w:tcW w:w="3744" w:type="dxa"/>
          </w:tcPr>
          <w:p w:rsidR="006E530B" w:rsidRDefault="006E530B">
            <w:r>
              <w:object w:dxaOrig="7191" w:dyaOrig="5399">
                <v:shape id="_x0000_i1060" type="#_x0000_t75" style="width:162pt;height:12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60" DrawAspect="Content" ObjectID="_1461320454" r:id="rId18"/>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The Transition to Math section is designed to prepare students for the televised math lesson.</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8</w:t>
            </w:r>
          </w:p>
        </w:tc>
        <w:tc>
          <w:tcPr>
            <w:tcW w:w="3744" w:type="dxa"/>
          </w:tcPr>
          <w:p w:rsidR="006E530B" w:rsidRDefault="006E530B">
            <w:r>
              <w:object w:dxaOrig="7191" w:dyaOrig="5399">
                <v:shape id="_x0000_i1066" type="#_x0000_t75" style="width:162pt;height:12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66" DrawAspect="Content" ObjectID="_1461320455" r:id="rId20"/>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(Walk the participants through the Transition to Math Lesson modeling appropriate instructional strategies.)</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9</w:t>
            </w:r>
          </w:p>
        </w:tc>
        <w:tc>
          <w:tcPr>
            <w:tcW w:w="3744" w:type="dxa"/>
          </w:tcPr>
          <w:p w:rsidR="006E530B" w:rsidRDefault="006E530B">
            <w:r>
              <w:object w:dxaOrig="7191" w:dyaOrig="5399">
                <v:shape id="_x0000_i1072" type="#_x0000_t75" style="width:162pt;height:12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72" DrawAspect="Content" ObjectID="_1461320456" r:id="rId22"/>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The televised lesson is the core math lesson and develops unit math skills through interactive questioning and hands-on experiences. The lesson lasts approximately 30 minutes.</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lastRenderedPageBreak/>
              <w:t>Slide 10</w:t>
            </w:r>
          </w:p>
        </w:tc>
        <w:tc>
          <w:tcPr>
            <w:tcW w:w="3744" w:type="dxa"/>
          </w:tcPr>
          <w:p w:rsidR="006E530B" w:rsidRDefault="006E530B">
            <w:r>
              <w:object w:dxaOrig="7191" w:dyaOrig="5399">
                <v:shape id="_x0000_i1078" type="#_x0000_t75" style="width:162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78" DrawAspect="Content" ObjectID="_1461320457" r:id="rId24"/>
              </w:object>
            </w:r>
          </w:p>
        </w:tc>
        <w:tc>
          <w:tcPr>
            <w:tcW w:w="3744" w:type="dxa"/>
          </w:tcPr>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r>
              <w:rPr>
                <w:rFonts w:ascii="Calibri" w:hAnsi="Calibri" w:cs="Calibri"/>
                <w:kern w:val="24"/>
              </w:rPr>
              <w:t>(Walk the participants through the televised lesson using the class provided on the DVD. As the “teacher,</w:t>
            </w:r>
            <w:proofErr w:type="gramStart"/>
            <w:r>
              <w:rPr>
                <w:rFonts w:ascii="Calibri" w:hAnsi="Calibri" w:cs="Calibri"/>
                <w:kern w:val="24"/>
              </w:rPr>
              <w:t>”  you</w:t>
            </w:r>
            <w:proofErr w:type="gramEnd"/>
            <w:r>
              <w:rPr>
                <w:rFonts w:ascii="Calibri" w:hAnsi="Calibri" w:cs="Calibri"/>
                <w:kern w:val="24"/>
              </w:rPr>
              <w:t xml:space="preserve"> should model appropriate strategies for making sure that the students have the correct materials and are working along with the television teacher. Please stress the expectation that the classroom teacher be actively involved in the televised lesson.)</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11</w:t>
            </w:r>
          </w:p>
        </w:tc>
        <w:tc>
          <w:tcPr>
            <w:tcW w:w="3744" w:type="dxa"/>
          </w:tcPr>
          <w:p w:rsidR="006E530B" w:rsidRDefault="006E530B">
            <w:r>
              <w:object w:dxaOrig="7191" w:dyaOrig="5399">
                <v:shape id="_x0000_i1084" type="#_x0000_t75" style="width:162pt;height:12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84" DrawAspect="Content" ObjectID="_1461320458" r:id="rId26"/>
              </w:object>
            </w:r>
          </w:p>
        </w:tc>
        <w:tc>
          <w:tcPr>
            <w:tcW w:w="3744" w:type="dxa"/>
          </w:tcPr>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12</w:t>
            </w:r>
          </w:p>
        </w:tc>
        <w:tc>
          <w:tcPr>
            <w:tcW w:w="3744" w:type="dxa"/>
          </w:tcPr>
          <w:p w:rsidR="006E530B" w:rsidRDefault="006E530B">
            <w:r>
              <w:object w:dxaOrig="7191" w:dyaOrig="5399">
                <v:shape id="_x0000_i1089" type="#_x0000_t75" style="width:162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89" DrawAspect="Content" ObjectID="_1461320459" r:id="rId28"/>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The follow-up lesson (30-45 minutes) continues the TV Lesson objectives and reinforces current and previous skills.</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lastRenderedPageBreak/>
              <w:t>Slide 13</w:t>
            </w:r>
          </w:p>
        </w:tc>
        <w:tc>
          <w:tcPr>
            <w:tcW w:w="3744" w:type="dxa"/>
          </w:tcPr>
          <w:p w:rsidR="006E530B" w:rsidRDefault="006E530B">
            <w:r>
              <w:object w:dxaOrig="7191" w:dyaOrig="5399">
                <v:shape id="_x0000_i1095" type="#_x0000_t75" style="width:162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95" DrawAspect="Content" ObjectID="_1461320460" r:id="rId30"/>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(Walk the participants through the Follow-up lesson modeling the appropriate instructional strategies.)</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14</w:t>
            </w:r>
          </w:p>
        </w:tc>
        <w:tc>
          <w:tcPr>
            <w:tcW w:w="3744" w:type="dxa"/>
          </w:tcPr>
          <w:p w:rsidR="006E530B" w:rsidRDefault="006E530B">
            <w:r>
              <w:object w:dxaOrig="7191" w:dyaOrig="5399">
                <v:shape id="_x0000_i1101" type="#_x0000_t75" style="width:162pt;height:12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101" DrawAspect="Content" ObjectID="_1461320461" r:id="rId32"/>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As part of each math day, please include a quick Snack Fraction activity (up to 15 minutes). Snack Fractions provides practical hands-on practice in age-appropriate fraction skills, including decimals, percent, and ratio in the upper grades.</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r>
              <w:rPr>
                <w:rFonts w:ascii="Calibri" w:hAnsi="Calibri" w:cs="Calibri"/>
                <w:kern w:val="24"/>
              </w:rPr>
              <w:t xml:space="preserve">If your district/school does not allow any snacks to be given to students, you may alter the activity by providing the paper shape to be divided into fractional parts. </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r>
              <w:rPr>
                <w:rFonts w:ascii="Calibri" w:hAnsi="Calibri" w:cs="Calibri"/>
                <w:kern w:val="24"/>
              </w:rPr>
              <w:t xml:space="preserve">All grade bands enjoy the same snack. </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lastRenderedPageBreak/>
              <w:t>Slide 15</w:t>
            </w:r>
          </w:p>
        </w:tc>
        <w:tc>
          <w:tcPr>
            <w:tcW w:w="3744" w:type="dxa"/>
          </w:tcPr>
          <w:p w:rsidR="006E530B" w:rsidRDefault="006E530B">
            <w:r>
              <w:object w:dxaOrig="7191" w:dyaOrig="5399">
                <v:shape id="_x0000_i1107" type="#_x0000_t75" style="width:162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107" DrawAspect="Content" ObjectID="_1461320462" r:id="rId34"/>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(Walk participants through the Snack Fraction lesson).</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16</w:t>
            </w:r>
          </w:p>
        </w:tc>
        <w:tc>
          <w:tcPr>
            <w:tcW w:w="3744" w:type="dxa"/>
          </w:tcPr>
          <w:p w:rsidR="006E530B" w:rsidRDefault="006E530B">
            <w:r>
              <w:object w:dxaOrig="7191" w:dyaOrig="5399">
                <v:shape id="_x0000_i1113" type="#_x0000_t75" style="width:162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113" DrawAspect="Content" ObjectID="_1461320463" r:id="rId36"/>
              </w:object>
            </w:r>
          </w:p>
        </w:tc>
        <w:tc>
          <w:tcPr>
            <w:tcW w:w="3744" w:type="dxa"/>
          </w:tcPr>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r>
              <w:rPr>
                <w:rFonts w:ascii="Calibri" w:hAnsi="Calibri" w:cs="Calibri"/>
                <w:kern w:val="24"/>
              </w:rPr>
              <w:t>The In-home lesson is designed for home-based programs with limited instructional time. The In-home lesson focuses on the core math objectives that are assessed. There will be a separate In-home booklet provided on the CD. This file has all of the in-home lesson unit templates as well as all supporting materials compiled together.</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r>
              <w:rPr>
                <w:rFonts w:ascii="Calibri" w:hAnsi="Calibri" w:cs="Calibri"/>
                <w:kern w:val="24"/>
              </w:rPr>
              <w:t>(Review the components of the In-home lesson template.)</w:t>
            </w:r>
          </w:p>
          <w:p w:rsidR="006E530B" w:rsidRDefault="006E530B" w:rsidP="006E530B">
            <w:pPr>
              <w:autoSpaceDE w:val="0"/>
              <w:autoSpaceDN w:val="0"/>
              <w:adjustRightInd w:val="0"/>
              <w:rPr>
                <w:rFonts w:ascii="Arial" w:hAnsi="Arial" w:cs="Arial"/>
              </w:rPr>
            </w:pPr>
          </w:p>
          <w:p w:rsidR="006E530B" w:rsidRDefault="006E530B"/>
        </w:tc>
      </w:tr>
      <w:tr w:rsidR="006E530B" w:rsidTr="006E530B">
        <w:tblPrEx>
          <w:tblCellMar>
            <w:top w:w="0" w:type="dxa"/>
            <w:bottom w:w="0" w:type="dxa"/>
          </w:tblCellMar>
        </w:tblPrEx>
        <w:trPr>
          <w:trHeight w:val="4000"/>
        </w:trPr>
        <w:tc>
          <w:tcPr>
            <w:tcW w:w="1368" w:type="dxa"/>
          </w:tcPr>
          <w:p w:rsidR="006E530B" w:rsidRDefault="006E530B">
            <w:r>
              <w:t>Slide 17</w:t>
            </w:r>
          </w:p>
        </w:tc>
        <w:tc>
          <w:tcPr>
            <w:tcW w:w="3744" w:type="dxa"/>
          </w:tcPr>
          <w:p w:rsidR="006E530B" w:rsidRDefault="006E530B">
            <w:r>
              <w:object w:dxaOrig="7191" w:dyaOrig="5399">
                <v:shape id="_x0000_i1119" type="#_x0000_t75" style="width:162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119" DrawAspect="Content" ObjectID="_1461320464" r:id="rId38"/>
              </w:object>
            </w:r>
          </w:p>
        </w:tc>
        <w:tc>
          <w:tcPr>
            <w:tcW w:w="3744" w:type="dxa"/>
          </w:tcPr>
          <w:p w:rsidR="006E530B" w:rsidRDefault="006E530B" w:rsidP="006E530B">
            <w:pPr>
              <w:autoSpaceDE w:val="0"/>
              <w:autoSpaceDN w:val="0"/>
              <w:adjustRightInd w:val="0"/>
              <w:rPr>
                <w:rFonts w:ascii="Calibri" w:hAnsi="Calibri" w:cs="Calibri"/>
                <w:kern w:val="24"/>
              </w:rPr>
            </w:pPr>
            <w:r>
              <w:rPr>
                <w:rFonts w:ascii="Calibri" w:hAnsi="Calibri" w:cs="Calibri"/>
                <w:kern w:val="24"/>
              </w:rPr>
              <w:t>These lesson components provide opportunities for differentiating instruction.</w:t>
            </w: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Calibri" w:hAnsi="Calibri" w:cs="Calibri"/>
                <w:kern w:val="24"/>
              </w:rPr>
            </w:pPr>
          </w:p>
          <w:p w:rsidR="006E530B" w:rsidRDefault="006E530B" w:rsidP="006E530B">
            <w:pPr>
              <w:autoSpaceDE w:val="0"/>
              <w:autoSpaceDN w:val="0"/>
              <w:adjustRightInd w:val="0"/>
              <w:rPr>
                <w:rFonts w:ascii="Arial" w:hAnsi="Arial" w:cs="Arial"/>
              </w:rPr>
            </w:pPr>
          </w:p>
          <w:p w:rsidR="006E530B" w:rsidRDefault="006E530B"/>
        </w:tc>
      </w:tr>
    </w:tbl>
    <w:p w:rsidR="00AC364F" w:rsidRDefault="00AC364F"/>
    <w:sectPr w:rsidR="00AC364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0B"/>
    <w:rsid w:val="006E530B"/>
    <w:rsid w:val="00AC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7.sldx"/><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E488775F</Template>
  <TotalTime>2</TotalTime>
  <Pages>7</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NWESD</Company>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Kernel</dc:creator>
  <cp:lastModifiedBy>Mary Kernel</cp:lastModifiedBy>
  <cp:revision>1</cp:revision>
  <dcterms:created xsi:type="dcterms:W3CDTF">2014-05-11T20:31:00Z</dcterms:created>
  <dcterms:modified xsi:type="dcterms:W3CDTF">2014-05-11T20:33:00Z</dcterms:modified>
</cp:coreProperties>
</file>