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jc w:val="center"/>
        <w:tblCellSpacing w:w="0" w:type="dxa"/>
        <w:tblCellMar>
          <w:left w:w="0" w:type="dxa"/>
          <w:right w:w="0" w:type="dxa"/>
        </w:tblCellMar>
        <w:tblLook w:val="04A0" w:firstRow="1" w:lastRow="0" w:firstColumn="1" w:lastColumn="0" w:noHBand="0" w:noVBand="1"/>
      </w:tblPr>
      <w:tblGrid>
        <w:gridCol w:w="10890"/>
      </w:tblGrid>
      <w:tr w:rsidR="00C312B2" w:rsidTr="00C312B2">
        <w:trPr>
          <w:tblCellSpacing w:w="0" w:type="dxa"/>
          <w:jc w:val="center"/>
        </w:trPr>
        <w:tc>
          <w:tcPr>
            <w:tcW w:w="0" w:type="auto"/>
            <w:vAlign w:val="center"/>
            <w:hideMark/>
          </w:tcPr>
          <w:tbl>
            <w:tblPr>
              <w:tblW w:w="10890" w:type="dxa"/>
              <w:jc w:val="center"/>
              <w:tblCellSpacing w:w="0" w:type="dxa"/>
              <w:tblCellMar>
                <w:left w:w="0" w:type="dxa"/>
                <w:right w:w="0" w:type="dxa"/>
              </w:tblCellMar>
              <w:tblLook w:val="04A0" w:firstRow="1" w:lastRow="0" w:firstColumn="1" w:lastColumn="0" w:noHBand="0" w:noVBand="1"/>
            </w:tblPr>
            <w:tblGrid>
              <w:gridCol w:w="10890"/>
            </w:tblGrid>
            <w:tr w:rsidR="00C312B2" w:rsidTr="00C312B2">
              <w:trPr>
                <w:tblCellSpacing w:w="0" w:type="dxa"/>
                <w:jc w:val="center"/>
              </w:trPr>
              <w:tc>
                <w:tcPr>
                  <w:tcW w:w="5000" w:type="pct"/>
                  <w:shd w:val="clear" w:color="auto" w:fill="396887"/>
                  <w:vAlign w:val="center"/>
                  <w:hideMark/>
                </w:tcPr>
                <w:tbl>
                  <w:tblPr>
                    <w:tblW w:w="9000" w:type="dxa"/>
                    <w:jc w:val="center"/>
                    <w:tblCellMar>
                      <w:left w:w="0" w:type="dxa"/>
                      <w:right w:w="0" w:type="dxa"/>
                    </w:tblCellMar>
                    <w:tblLook w:val="04A0" w:firstRow="1" w:lastRow="0" w:firstColumn="1" w:lastColumn="0" w:noHBand="0" w:noVBand="1"/>
                  </w:tblPr>
                  <w:tblGrid>
                    <w:gridCol w:w="9003"/>
                  </w:tblGrid>
                  <w:tr w:rsidR="00C312B2">
                    <w:trPr>
                      <w:jc w:val="center"/>
                    </w:trPr>
                    <w:tc>
                      <w:tcPr>
                        <w:tcW w:w="9000" w:type="dxa"/>
                        <w:shd w:val="clear" w:color="auto" w:fill="396887"/>
                        <w:tcMar>
                          <w:top w:w="300" w:type="dxa"/>
                          <w:left w:w="0" w:type="dxa"/>
                          <w:bottom w:w="0" w:type="dxa"/>
                          <w:right w:w="0" w:type="dxa"/>
                        </w:tcMar>
                        <w:hideMark/>
                      </w:tcPr>
                      <w:p w:rsidR="00C312B2" w:rsidRDefault="00C312B2">
                        <w:bookmarkStart w:id="0" w:name="_GoBack" w:colFirst="0" w:colLast="0"/>
                        <w:r>
                          <w:rPr>
                            <w:noProof/>
                          </w:rPr>
                          <w:drawing>
                            <wp:inline distT="0" distB="0" distL="0" distR="0">
                              <wp:extent cx="5716905" cy="1382395"/>
                              <wp:effectExtent l="0" t="0" r="0" b="8255"/>
                              <wp:docPr id="3" name="Picture 3" descr="OSPI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PI Sci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905" cy="1382395"/>
                                      </a:xfrm>
                                      <a:prstGeom prst="rect">
                                        <a:avLst/>
                                      </a:prstGeom>
                                      <a:noFill/>
                                      <a:ln>
                                        <a:noFill/>
                                      </a:ln>
                                    </pic:spPr>
                                  </pic:pic>
                                </a:graphicData>
                              </a:graphic>
                            </wp:inline>
                          </w:drawing>
                        </w:r>
                      </w:p>
                    </w:tc>
                  </w:tr>
                  <w:tr w:rsidR="00C312B2">
                    <w:trPr>
                      <w:jc w:val="center"/>
                    </w:trPr>
                    <w:tc>
                      <w:tcPr>
                        <w:tcW w:w="9000" w:type="dxa"/>
                        <w:shd w:val="clear" w:color="auto" w:fill="FFFFFF"/>
                        <w:tcMar>
                          <w:top w:w="150" w:type="dxa"/>
                          <w:left w:w="150" w:type="dxa"/>
                          <w:bottom w:w="75" w:type="dxa"/>
                          <w:right w:w="150" w:type="dxa"/>
                        </w:tcMar>
                        <w:hideMark/>
                      </w:tcPr>
                      <w:p w:rsidR="00C312B2" w:rsidRDefault="00C312B2">
                        <w:pPr>
                          <w:jc w:val="center"/>
                          <w:rPr>
                            <w:rFonts w:eastAsia="Times New Roman"/>
                          </w:rPr>
                        </w:pPr>
                        <w:r>
                          <w:rPr>
                            <w:rFonts w:eastAsia="Times New Roman"/>
                          </w:rPr>
                          <w:pict>
                            <v:rect id="_x0000_i1114" style="width:379.1pt;height:.75pt" o:hrpct="810" o:hralign="center" o:hrstd="t" o:hr="t" fillcolor="#a0a0a0" stroked="f"/>
                          </w:pict>
                        </w:r>
                      </w:p>
                      <w:p w:rsidR="00C312B2" w:rsidRDefault="00C312B2">
                        <w:pPr>
                          <w:pStyle w:val="Heading2"/>
                          <w:spacing w:before="75" w:beforeAutospacing="0" w:after="75" w:afterAutospacing="0"/>
                          <w:rPr>
                            <w:rFonts w:ascii="Arial" w:eastAsia="Times New Roman" w:hAnsi="Arial" w:cs="Arial"/>
                            <w:color w:val="244A5F"/>
                            <w:sz w:val="30"/>
                            <w:szCs w:val="30"/>
                          </w:rPr>
                        </w:pPr>
                        <w:r>
                          <w:rPr>
                            <w:rFonts w:ascii="Arial" w:eastAsia="Times New Roman" w:hAnsi="Arial" w:cs="Arial"/>
                            <w:color w:val="244A5F"/>
                            <w:sz w:val="30"/>
                            <w:szCs w:val="30"/>
                          </w:rPr>
                          <w:t xml:space="preserve">Update: Grades </w:t>
                        </w:r>
                        <w:proofErr w:type="gramStart"/>
                        <w:r>
                          <w:rPr>
                            <w:rFonts w:ascii="Arial" w:eastAsia="Times New Roman" w:hAnsi="Arial" w:cs="Arial"/>
                            <w:color w:val="244A5F"/>
                            <w:sz w:val="30"/>
                            <w:szCs w:val="30"/>
                          </w:rPr>
                          <w:t>5</w:t>
                        </w:r>
                        <w:proofErr w:type="gramEnd"/>
                        <w:r>
                          <w:rPr>
                            <w:rFonts w:ascii="Arial" w:eastAsia="Times New Roman" w:hAnsi="Arial" w:cs="Arial"/>
                            <w:color w:val="244A5F"/>
                            <w:sz w:val="30"/>
                            <w:szCs w:val="30"/>
                          </w:rPr>
                          <w:t xml:space="preserve"> and 8 date correction.</w:t>
                        </w:r>
                      </w:p>
                      <w:p w:rsidR="00C312B2" w:rsidRDefault="00C312B2">
                        <w:pPr>
                          <w:pStyle w:val="gdp"/>
                          <w:spacing w:before="0" w:beforeAutospacing="0" w:after="75" w:afterAutospacing="0"/>
                          <w:rPr>
                            <w:rFonts w:ascii="Tahoma" w:hAnsi="Tahoma" w:cs="Tahoma"/>
                            <w:color w:val="49463A"/>
                            <w:sz w:val="21"/>
                            <w:szCs w:val="21"/>
                          </w:rPr>
                        </w:pPr>
                        <w:r>
                          <w:rPr>
                            <w:rFonts w:ascii="Tahoma" w:hAnsi="Tahoma" w:cs="Tahoma"/>
                            <w:color w:val="49463A"/>
                            <w:sz w:val="21"/>
                            <w:szCs w:val="21"/>
                          </w:rPr>
                          <w:t xml:space="preserve">Both Grade 5 and Grade 8 Item Cluster Writing work groups will run </w:t>
                        </w:r>
                        <w:r>
                          <w:rPr>
                            <w:rStyle w:val="Strong"/>
                            <w:rFonts w:ascii="Tahoma" w:hAnsi="Tahoma" w:cs="Tahoma"/>
                            <w:color w:val="49463A"/>
                            <w:sz w:val="21"/>
                            <w:szCs w:val="21"/>
                          </w:rPr>
                          <w:t>April 9-11, 2018</w:t>
                        </w:r>
                        <w:r>
                          <w:rPr>
                            <w:rFonts w:ascii="Tahoma" w:hAnsi="Tahoma" w:cs="Tahoma"/>
                            <w:color w:val="49463A"/>
                            <w:sz w:val="21"/>
                            <w:szCs w:val="21"/>
                          </w:rPr>
                          <w:t>.</w:t>
                        </w:r>
                      </w:p>
                      <w:p w:rsidR="00C312B2" w:rsidRDefault="00C312B2">
                        <w:pPr>
                          <w:pStyle w:val="gdp"/>
                          <w:spacing w:before="75" w:beforeAutospacing="0" w:after="75" w:afterAutospacing="0"/>
                          <w:rPr>
                            <w:rFonts w:ascii="Tahoma" w:hAnsi="Tahoma" w:cs="Tahoma"/>
                            <w:color w:val="49463A"/>
                            <w:sz w:val="21"/>
                            <w:szCs w:val="21"/>
                          </w:rPr>
                        </w:pPr>
                        <w:r>
                          <w:rPr>
                            <w:rFonts w:ascii="Tahoma" w:hAnsi="Tahoma" w:cs="Tahoma"/>
                            <w:color w:val="49463A"/>
                            <w:sz w:val="21"/>
                            <w:szCs w:val="21"/>
                          </w:rPr>
                          <w:t xml:space="preserve">We apologize for the previous message with incorrect dates. </w:t>
                        </w:r>
                      </w:p>
                      <w:p w:rsidR="00C312B2" w:rsidRDefault="00C312B2">
                        <w:pPr>
                          <w:pStyle w:val="Heading2"/>
                          <w:spacing w:before="75" w:beforeAutospacing="0" w:after="75" w:afterAutospacing="0"/>
                          <w:rPr>
                            <w:rFonts w:ascii="Arial" w:eastAsia="Times New Roman" w:hAnsi="Arial" w:cs="Arial"/>
                            <w:color w:val="244A5F"/>
                            <w:sz w:val="30"/>
                            <w:szCs w:val="30"/>
                          </w:rPr>
                        </w:pPr>
                        <w:r>
                          <w:rPr>
                            <w:rFonts w:ascii="Arial" w:eastAsia="Times New Roman" w:hAnsi="Arial" w:cs="Arial"/>
                            <w:color w:val="244A5F"/>
                            <w:sz w:val="30"/>
                            <w:szCs w:val="30"/>
                          </w:rPr>
                          <w:t>Item Cluster Writing Work Group Application</w:t>
                        </w:r>
                      </w:p>
                      <w:p w:rsidR="00C312B2" w:rsidRDefault="00C312B2">
                        <w:pPr>
                          <w:pStyle w:val="gdp"/>
                          <w:spacing w:before="0" w:beforeAutospacing="0" w:after="75" w:afterAutospacing="0"/>
                          <w:rPr>
                            <w:rFonts w:ascii="Tahoma" w:hAnsi="Tahoma" w:cs="Tahoma"/>
                            <w:color w:val="49463A"/>
                            <w:sz w:val="21"/>
                            <w:szCs w:val="21"/>
                          </w:rPr>
                        </w:pPr>
                        <w:r>
                          <w:rPr>
                            <w:rFonts w:ascii="Tahoma" w:hAnsi="Tahoma" w:cs="Tahoma"/>
                            <w:color w:val="49463A"/>
                            <w:sz w:val="21"/>
                            <w:szCs w:val="21"/>
                          </w:rPr>
                          <w:t>This is your invitation to APPLY for item cluster writing work groups for the Washington Comprehensive Assessment of Science (WCAS).</w:t>
                        </w:r>
                        <w:r>
                          <w:rPr>
                            <w:rFonts w:ascii="Tahoma" w:hAnsi="Tahoma" w:cs="Tahoma"/>
                            <w:color w:val="49463A"/>
                            <w:sz w:val="21"/>
                            <w:szCs w:val="21"/>
                          </w:rPr>
                          <w:br/>
                        </w:r>
                        <w:r>
                          <w:rPr>
                            <w:rFonts w:ascii="Tahoma" w:hAnsi="Tahoma" w:cs="Tahoma"/>
                            <w:color w:val="49463A"/>
                            <w:sz w:val="21"/>
                            <w:szCs w:val="21"/>
                          </w:rPr>
                          <w:br/>
                        </w:r>
                        <w:r>
                          <w:rPr>
                            <w:rFonts w:ascii="Tahoma" w:hAnsi="Tahoma" w:cs="Tahoma"/>
                            <w:b/>
                            <w:bCs/>
                            <w:color w:val="49463A"/>
                            <w:sz w:val="21"/>
                            <w:szCs w:val="21"/>
                          </w:rPr>
                          <w:t xml:space="preserve">Item Cluster Writing Work Groups: </w:t>
                        </w:r>
                        <w:r>
                          <w:rPr>
                            <w:rFonts w:ascii="Tahoma" w:hAnsi="Tahoma" w:cs="Tahoma"/>
                            <w:color w:val="49463A"/>
                            <w:sz w:val="21"/>
                            <w:szCs w:val="21"/>
                          </w:rPr>
                          <w:t>Teams of two writers produce stimuli and items aligned to the state learning standards. The teams also draft rubrics designed to measure student understanding of the science standards.</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Grade 5              </w:t>
                        </w:r>
                        <w:r>
                          <w:rPr>
                            <w:rStyle w:val="Strong"/>
                            <w:rFonts w:ascii="Tahoma" w:hAnsi="Tahoma" w:cs="Tahoma"/>
                            <w:color w:val="49463A"/>
                            <w:sz w:val="21"/>
                            <w:szCs w:val="21"/>
                          </w:rPr>
                          <w:t>April 9–11</w:t>
                        </w:r>
                        <w:r>
                          <w:rPr>
                            <w:rFonts w:ascii="Tahoma" w:hAnsi="Tahoma" w:cs="Tahoma"/>
                            <w:color w:val="49463A"/>
                            <w:sz w:val="21"/>
                            <w:szCs w:val="21"/>
                          </w:rPr>
                          <w:t>         </w:t>
                        </w:r>
                        <w:r>
                          <w:rPr>
                            <w:rFonts w:ascii="Tahoma" w:hAnsi="Tahoma" w:cs="Tahoma"/>
                            <w:color w:val="49463A"/>
                            <w:sz w:val="21"/>
                            <w:szCs w:val="21"/>
                          </w:rPr>
                          <w:br/>
                          <w:t>Grade 8              </w:t>
                        </w:r>
                        <w:r>
                          <w:rPr>
                            <w:rStyle w:val="Strong"/>
                            <w:rFonts w:ascii="Tahoma" w:hAnsi="Tahoma" w:cs="Tahoma"/>
                            <w:color w:val="49463A"/>
                            <w:sz w:val="21"/>
                            <w:szCs w:val="21"/>
                          </w:rPr>
                          <w:t>April 9–11</w:t>
                        </w:r>
                        <w:r>
                          <w:rPr>
                            <w:rFonts w:ascii="Tahoma" w:hAnsi="Tahoma" w:cs="Tahoma"/>
                            <w:color w:val="49463A"/>
                            <w:sz w:val="21"/>
                            <w:szCs w:val="21"/>
                          </w:rPr>
                          <w:t>        </w:t>
                        </w:r>
                        <w:r>
                          <w:rPr>
                            <w:rFonts w:ascii="Tahoma" w:hAnsi="Tahoma" w:cs="Tahoma"/>
                            <w:color w:val="49463A"/>
                            <w:sz w:val="21"/>
                            <w:szCs w:val="21"/>
                          </w:rPr>
                          <w:br/>
                          <w:t xml:space="preserve">High School        April 9–13                  </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Participants </w:t>
                        </w:r>
                        <w:proofErr w:type="gramStart"/>
                        <w:r>
                          <w:rPr>
                            <w:rFonts w:ascii="Tahoma" w:hAnsi="Tahoma" w:cs="Tahoma"/>
                            <w:color w:val="49463A"/>
                            <w:sz w:val="21"/>
                            <w:szCs w:val="21"/>
                          </w:rPr>
                          <w:t>will be chosen</w:t>
                        </w:r>
                        <w:proofErr w:type="gramEnd"/>
                        <w:r>
                          <w:rPr>
                            <w:rFonts w:ascii="Tahoma" w:hAnsi="Tahoma" w:cs="Tahoma"/>
                            <w:color w:val="49463A"/>
                            <w:sz w:val="21"/>
                            <w:szCs w:val="21"/>
                          </w:rPr>
                          <w:t xml:space="preserve"> to provide a well-balanced work group in terms of previous science assessment experience, content and grade-level expertise, and state demographics. Each work group will include both experienced and new applicants. </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The assessments are three-dimensional—assessing Science and Engineering Practices and Crosscutting Concepts in the context of Physical Sciences; Life Sciences; Earth and Space Sciences; and Engineering, Technology, and Applications of Science. Educators are encouraged to apply for work groups at multiple grades based on content expertise. For example, a middle school teacher with content expertise in earth science is encouraged to apply for grades 5, 8, and/or high school work groups.</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Teachers who have not yet participated in an </w:t>
                        </w:r>
                        <w:proofErr w:type="gramStart"/>
                        <w:r>
                          <w:rPr>
                            <w:rFonts w:ascii="Tahoma" w:hAnsi="Tahoma" w:cs="Tahoma"/>
                            <w:color w:val="49463A"/>
                            <w:sz w:val="21"/>
                            <w:szCs w:val="21"/>
                          </w:rPr>
                          <w:t>assessment development work group</w:t>
                        </w:r>
                        <w:proofErr w:type="gramEnd"/>
                        <w:r>
                          <w:rPr>
                            <w:rFonts w:ascii="Tahoma" w:hAnsi="Tahoma" w:cs="Tahoma"/>
                            <w:color w:val="49463A"/>
                            <w:sz w:val="21"/>
                            <w:szCs w:val="21"/>
                          </w:rPr>
                          <w:t xml:space="preserve"> for the WCAS will be required to complete an online pre-meeting training. STEM clock hours </w:t>
                        </w:r>
                        <w:proofErr w:type="gramStart"/>
                        <w:r>
                          <w:rPr>
                            <w:rFonts w:ascii="Tahoma" w:hAnsi="Tahoma" w:cs="Tahoma"/>
                            <w:color w:val="49463A"/>
                            <w:sz w:val="21"/>
                            <w:szCs w:val="21"/>
                          </w:rPr>
                          <w:t>will be provided</w:t>
                        </w:r>
                        <w:proofErr w:type="gramEnd"/>
                        <w:r>
                          <w:rPr>
                            <w:rFonts w:ascii="Tahoma" w:hAnsi="Tahoma" w:cs="Tahoma"/>
                            <w:color w:val="49463A"/>
                            <w:sz w:val="21"/>
                            <w:szCs w:val="21"/>
                          </w:rPr>
                          <w:t xml:space="preserve"> for the online training.</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Teachers who have previously participated in a development work group for the WCAS are not required to complete the pre-meeting training. </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b/>
                            <w:bCs/>
                            <w:color w:val="49463A"/>
                            <w:sz w:val="21"/>
                            <w:szCs w:val="21"/>
                          </w:rPr>
                          <w:t xml:space="preserve">Logistics </w:t>
                        </w:r>
                        <w:r>
                          <w:rPr>
                            <w:rFonts w:ascii="Tahoma" w:hAnsi="Tahoma" w:cs="Tahoma"/>
                            <w:b/>
                            <w:bCs/>
                            <w:color w:val="49463A"/>
                            <w:sz w:val="21"/>
                            <w:szCs w:val="21"/>
                          </w:rPr>
                          <w:br/>
                        </w:r>
                        <w:r>
                          <w:rPr>
                            <w:rFonts w:ascii="Tahoma" w:hAnsi="Tahoma" w:cs="Tahoma"/>
                            <w:color w:val="49463A"/>
                            <w:sz w:val="21"/>
                            <w:szCs w:val="21"/>
                          </w:rPr>
                          <w:t xml:space="preserve">The work groups will begin with breakfast each morning at 7:30 a.m. and will run from 8:00 a.m. until 5:00 p.m. Participants </w:t>
                        </w:r>
                        <w:proofErr w:type="gramStart"/>
                        <w:r>
                          <w:rPr>
                            <w:rFonts w:ascii="Tahoma" w:hAnsi="Tahoma" w:cs="Tahoma"/>
                            <w:color w:val="49463A"/>
                            <w:sz w:val="21"/>
                            <w:szCs w:val="21"/>
                          </w:rPr>
                          <w:t>are expected</w:t>
                        </w:r>
                        <w:proofErr w:type="gramEnd"/>
                        <w:r>
                          <w:rPr>
                            <w:rFonts w:ascii="Tahoma" w:hAnsi="Tahoma" w:cs="Tahoma"/>
                            <w:color w:val="49463A"/>
                            <w:sz w:val="21"/>
                            <w:szCs w:val="21"/>
                          </w:rPr>
                          <w:t xml:space="preserve"> to attend the entire day.</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t xml:space="preserve">Breakfast and lunch </w:t>
                        </w:r>
                        <w:proofErr w:type="gramStart"/>
                        <w:r>
                          <w:rPr>
                            <w:rFonts w:ascii="Tahoma" w:eastAsia="Times New Roman" w:hAnsi="Tahoma" w:cs="Tahoma"/>
                            <w:color w:val="49463A"/>
                            <w:sz w:val="21"/>
                            <w:szCs w:val="21"/>
                          </w:rPr>
                          <w:t>will be provided</w:t>
                        </w:r>
                        <w:proofErr w:type="gramEnd"/>
                        <w:r>
                          <w:rPr>
                            <w:rFonts w:ascii="Tahoma" w:eastAsia="Times New Roman" w:hAnsi="Tahoma" w:cs="Tahoma"/>
                            <w:color w:val="49463A"/>
                            <w:sz w:val="21"/>
                            <w:szCs w:val="21"/>
                          </w:rPr>
                          <w:t xml:space="preserve">. </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t xml:space="preserve">Free STEM clock hours </w:t>
                        </w:r>
                        <w:proofErr w:type="gramStart"/>
                        <w:r>
                          <w:rPr>
                            <w:rFonts w:ascii="Tahoma" w:eastAsia="Times New Roman" w:hAnsi="Tahoma" w:cs="Tahoma"/>
                            <w:color w:val="49463A"/>
                            <w:sz w:val="21"/>
                            <w:szCs w:val="21"/>
                          </w:rPr>
                          <w:t>will be provided</w:t>
                        </w:r>
                        <w:proofErr w:type="gramEnd"/>
                        <w:r>
                          <w:rPr>
                            <w:rFonts w:ascii="Tahoma" w:eastAsia="Times New Roman" w:hAnsi="Tahoma" w:cs="Tahoma"/>
                            <w:color w:val="49463A"/>
                            <w:sz w:val="21"/>
                            <w:szCs w:val="21"/>
                          </w:rPr>
                          <w:t xml:space="preserve">. </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lastRenderedPageBreak/>
                          <w:t xml:space="preserve">Personal travel reimbursement (mileage, dinner, parking, etc.) </w:t>
                        </w:r>
                        <w:proofErr w:type="gramStart"/>
                        <w:r>
                          <w:rPr>
                            <w:rFonts w:ascii="Tahoma" w:eastAsia="Times New Roman" w:hAnsi="Tahoma" w:cs="Tahoma"/>
                            <w:color w:val="49463A"/>
                            <w:sz w:val="21"/>
                            <w:szCs w:val="21"/>
                          </w:rPr>
                          <w:t>will be provided</w:t>
                        </w:r>
                        <w:proofErr w:type="gramEnd"/>
                        <w:r>
                          <w:rPr>
                            <w:rFonts w:ascii="Tahoma" w:eastAsia="Times New Roman" w:hAnsi="Tahoma" w:cs="Tahoma"/>
                            <w:color w:val="49463A"/>
                            <w:sz w:val="21"/>
                            <w:szCs w:val="21"/>
                          </w:rPr>
                          <w:t xml:space="preserve"> as long as all state guidelines and regulations are met. </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t xml:space="preserve">Lodging for those living more than 50 miles from the meeting location </w:t>
                        </w:r>
                        <w:proofErr w:type="gramStart"/>
                        <w:r>
                          <w:rPr>
                            <w:rFonts w:ascii="Tahoma" w:eastAsia="Times New Roman" w:hAnsi="Tahoma" w:cs="Tahoma"/>
                            <w:color w:val="49463A"/>
                            <w:sz w:val="21"/>
                            <w:szCs w:val="21"/>
                          </w:rPr>
                          <w:t>will be provided</w:t>
                        </w:r>
                        <w:proofErr w:type="gramEnd"/>
                        <w:r>
                          <w:rPr>
                            <w:rFonts w:ascii="Tahoma" w:eastAsia="Times New Roman" w:hAnsi="Tahoma" w:cs="Tahoma"/>
                            <w:color w:val="49463A"/>
                            <w:sz w:val="21"/>
                            <w:szCs w:val="21"/>
                          </w:rPr>
                          <w:t xml:space="preserve">. </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t xml:space="preserve">Flights are available if needed. </w:t>
                        </w:r>
                      </w:p>
                      <w:p w:rsidR="00C312B2" w:rsidRDefault="00C312B2" w:rsidP="00BF024B">
                        <w:pPr>
                          <w:numPr>
                            <w:ilvl w:val="0"/>
                            <w:numId w:val="1"/>
                          </w:numPr>
                          <w:spacing w:before="100" w:beforeAutospacing="1" w:after="75"/>
                          <w:rPr>
                            <w:rFonts w:ascii="Tahoma" w:eastAsia="Times New Roman" w:hAnsi="Tahoma" w:cs="Tahoma"/>
                            <w:color w:val="49463A"/>
                            <w:sz w:val="21"/>
                            <w:szCs w:val="21"/>
                          </w:rPr>
                        </w:pPr>
                        <w:r>
                          <w:rPr>
                            <w:rFonts w:ascii="Tahoma" w:eastAsia="Times New Roman" w:hAnsi="Tahoma" w:cs="Tahoma"/>
                            <w:color w:val="49463A"/>
                            <w:sz w:val="21"/>
                            <w:szCs w:val="21"/>
                          </w:rPr>
                          <w:t xml:space="preserve">Substitute reimbursement </w:t>
                        </w:r>
                        <w:proofErr w:type="gramStart"/>
                        <w:r>
                          <w:rPr>
                            <w:rFonts w:ascii="Tahoma" w:eastAsia="Times New Roman" w:hAnsi="Tahoma" w:cs="Tahoma"/>
                            <w:color w:val="49463A"/>
                            <w:sz w:val="21"/>
                            <w:szCs w:val="21"/>
                          </w:rPr>
                          <w:t>is offered</w:t>
                        </w:r>
                        <w:proofErr w:type="gramEnd"/>
                        <w:r>
                          <w:rPr>
                            <w:rFonts w:ascii="Tahoma" w:eastAsia="Times New Roman" w:hAnsi="Tahoma" w:cs="Tahoma"/>
                            <w:color w:val="49463A"/>
                            <w:sz w:val="21"/>
                            <w:szCs w:val="21"/>
                          </w:rPr>
                          <w:t xml:space="preserve"> during the school year. No compensation is available during the school year. </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Our application database </w:t>
                        </w:r>
                        <w:proofErr w:type="gramStart"/>
                        <w:r>
                          <w:rPr>
                            <w:rFonts w:ascii="Tahoma" w:hAnsi="Tahoma" w:cs="Tahoma"/>
                            <w:color w:val="49463A"/>
                            <w:sz w:val="21"/>
                            <w:szCs w:val="21"/>
                          </w:rPr>
                          <w:t>is updated</w:t>
                        </w:r>
                        <w:proofErr w:type="gramEnd"/>
                        <w:r>
                          <w:rPr>
                            <w:rFonts w:ascii="Tahoma" w:hAnsi="Tahoma" w:cs="Tahoma"/>
                            <w:color w:val="49463A"/>
                            <w:sz w:val="21"/>
                            <w:szCs w:val="21"/>
                          </w:rPr>
                          <w:t xml:space="preserve"> each year. Please complete the application in its entirety, even if you have applied for science assessment work groups in the past. Once you have completed </w:t>
                        </w:r>
                        <w:proofErr w:type="gramStart"/>
                        <w:r>
                          <w:rPr>
                            <w:rFonts w:ascii="Tahoma" w:hAnsi="Tahoma" w:cs="Tahoma"/>
                            <w:color w:val="49463A"/>
                            <w:sz w:val="21"/>
                            <w:szCs w:val="21"/>
                          </w:rPr>
                          <w:t>this</w:t>
                        </w:r>
                        <w:proofErr w:type="gramEnd"/>
                        <w:r>
                          <w:rPr>
                            <w:rFonts w:ascii="Tahoma" w:hAnsi="Tahoma" w:cs="Tahoma"/>
                            <w:color w:val="49463A"/>
                            <w:sz w:val="21"/>
                            <w:szCs w:val="21"/>
                          </w:rPr>
                          <w:t xml:space="preserve"> application you can use it for all events you would like to apply for in 2018. </w:t>
                        </w:r>
                        <w:r>
                          <w:rPr>
                            <w:rFonts w:ascii="Tahoma" w:hAnsi="Tahoma" w:cs="Tahoma"/>
                            <w:color w:val="49463A"/>
                            <w:sz w:val="21"/>
                            <w:szCs w:val="21"/>
                          </w:rPr>
                          <w:br/>
                        </w:r>
                        <w:r>
                          <w:rPr>
                            <w:rFonts w:ascii="Tahoma" w:hAnsi="Tahoma" w:cs="Tahoma"/>
                            <w:color w:val="49463A"/>
                            <w:sz w:val="21"/>
                            <w:szCs w:val="21"/>
                          </w:rPr>
                          <w:br/>
                        </w:r>
                        <w:hyperlink r:id="rId6" w:history="1">
                          <w:r>
                            <w:rPr>
                              <w:rStyle w:val="Hyperlink"/>
                              <w:rFonts w:ascii="Tahoma" w:hAnsi="Tahoma" w:cs="Tahoma"/>
                              <w:color w:val="244A5F"/>
                              <w:sz w:val="21"/>
                              <w:szCs w:val="21"/>
                            </w:rPr>
                            <w:t>Science Assessment Item Cluster Writing Application</w:t>
                          </w:r>
                        </w:hyperlink>
                        <w:r>
                          <w:rPr>
                            <w:rFonts w:ascii="Tahoma" w:hAnsi="Tahoma" w:cs="Tahoma"/>
                            <w:color w:val="49463A"/>
                            <w:sz w:val="21"/>
                            <w:szCs w:val="21"/>
                          </w:rPr>
                          <w:t xml:space="preserve"> </w:t>
                        </w:r>
                        <w:r>
                          <w:rPr>
                            <w:rFonts w:ascii="Tahoma" w:hAnsi="Tahoma" w:cs="Tahoma"/>
                            <w:color w:val="49463A"/>
                            <w:sz w:val="21"/>
                            <w:szCs w:val="21"/>
                          </w:rPr>
                          <w:br/>
                        </w:r>
                        <w:r>
                          <w:rPr>
                            <w:rFonts w:ascii="Tahoma" w:hAnsi="Tahoma" w:cs="Tahoma"/>
                            <w:color w:val="49463A"/>
                            <w:sz w:val="21"/>
                            <w:szCs w:val="21"/>
                          </w:rPr>
                          <w:br/>
                          <w:t>Please complete the application survey by 5:00 p.m. Friday, March 2, 2018.</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 xml:space="preserve">We recommend downloading the </w:t>
                        </w:r>
                        <w:hyperlink r:id="rId7" w:history="1">
                          <w:r>
                            <w:rPr>
                              <w:rStyle w:val="Hyperlink"/>
                              <w:rFonts w:ascii="Tahoma" w:hAnsi="Tahoma" w:cs="Tahoma"/>
                              <w:color w:val="244A5F"/>
                              <w:sz w:val="21"/>
                              <w:szCs w:val="21"/>
                            </w:rPr>
                            <w:t>Application Example</w:t>
                          </w:r>
                        </w:hyperlink>
                        <w:r>
                          <w:rPr>
                            <w:rFonts w:ascii="Tahoma" w:hAnsi="Tahoma" w:cs="Tahoma"/>
                            <w:color w:val="49463A"/>
                            <w:sz w:val="21"/>
                            <w:szCs w:val="21"/>
                          </w:rPr>
                          <w:t xml:space="preserve"> prior to applying. This is only an example so that you can view the questions prior to logging into the survey. </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b/>
                            <w:bCs/>
                            <w:color w:val="49463A"/>
                            <w:sz w:val="21"/>
                            <w:szCs w:val="21"/>
                          </w:rPr>
                          <w:t>Please forward this invitation to your colleagues.</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b/>
                            <w:bCs/>
                            <w:color w:val="49463A"/>
                            <w:sz w:val="21"/>
                            <w:szCs w:val="21"/>
                          </w:rPr>
                          <w:t xml:space="preserve">All work groups </w:t>
                        </w:r>
                        <w:proofErr w:type="gramStart"/>
                        <w:r>
                          <w:rPr>
                            <w:rFonts w:ascii="Tahoma" w:hAnsi="Tahoma" w:cs="Tahoma"/>
                            <w:b/>
                            <w:bCs/>
                            <w:color w:val="49463A"/>
                            <w:sz w:val="21"/>
                            <w:szCs w:val="21"/>
                          </w:rPr>
                          <w:t>will be held</w:t>
                        </w:r>
                        <w:proofErr w:type="gramEnd"/>
                        <w:r>
                          <w:rPr>
                            <w:rFonts w:ascii="Tahoma" w:hAnsi="Tahoma" w:cs="Tahoma"/>
                            <w:b/>
                            <w:bCs/>
                            <w:color w:val="49463A"/>
                            <w:sz w:val="21"/>
                            <w:szCs w:val="21"/>
                          </w:rPr>
                          <w:t xml:space="preserve"> in the Olympia, WA area.</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Please let us know if you have any questions or need any further information.</w:t>
                        </w:r>
                      </w:p>
                      <w:p w:rsidR="00C312B2" w:rsidRDefault="00C312B2">
                        <w:pPr>
                          <w:pStyle w:val="gdp"/>
                          <w:spacing w:before="240" w:beforeAutospacing="0" w:after="75" w:afterAutospacing="0"/>
                          <w:rPr>
                            <w:rFonts w:ascii="Tahoma" w:hAnsi="Tahoma" w:cs="Tahoma"/>
                            <w:color w:val="49463A"/>
                            <w:sz w:val="21"/>
                            <w:szCs w:val="21"/>
                          </w:rPr>
                        </w:pPr>
                        <w:r>
                          <w:rPr>
                            <w:rFonts w:ascii="Tahoma" w:hAnsi="Tahoma" w:cs="Tahoma"/>
                            <w:color w:val="49463A"/>
                            <w:sz w:val="21"/>
                            <w:szCs w:val="21"/>
                          </w:rPr>
                          <w:t>Science Assessment Team</w:t>
                        </w:r>
                        <w:r>
                          <w:rPr>
                            <w:rFonts w:ascii="Tahoma" w:hAnsi="Tahoma" w:cs="Tahoma"/>
                            <w:color w:val="49463A"/>
                            <w:sz w:val="21"/>
                            <w:szCs w:val="21"/>
                          </w:rPr>
                          <w:br/>
                        </w:r>
                        <w:hyperlink r:id="rId8" w:history="1">
                          <w:r>
                            <w:rPr>
                              <w:rStyle w:val="Hyperlink"/>
                              <w:rFonts w:ascii="Tahoma" w:hAnsi="Tahoma" w:cs="Tahoma"/>
                              <w:color w:val="244A5F"/>
                              <w:sz w:val="21"/>
                              <w:szCs w:val="21"/>
                            </w:rPr>
                            <w:t>Science@k12.wa.us</w:t>
                          </w:r>
                        </w:hyperlink>
                        <w:r>
                          <w:rPr>
                            <w:rFonts w:ascii="Tahoma" w:hAnsi="Tahoma" w:cs="Tahoma"/>
                            <w:color w:val="49463A"/>
                            <w:sz w:val="21"/>
                            <w:szCs w:val="21"/>
                          </w:rPr>
                          <w:t xml:space="preserve">  </w:t>
                        </w:r>
                      </w:p>
                      <w:p w:rsidR="00C312B2" w:rsidRDefault="00C312B2">
                        <w:pPr>
                          <w:jc w:val="center"/>
                          <w:rPr>
                            <w:rFonts w:eastAsia="Times New Roman"/>
                          </w:rPr>
                        </w:pPr>
                        <w:r>
                          <w:rPr>
                            <w:rFonts w:eastAsia="Times New Roman"/>
                          </w:rPr>
                          <w:pict>
                            <v:rect id="_x0000_i1115" style="width:379.1pt;height:.75pt" o:hrpct="810" o:hralign="center" o:hrstd="t" o:hr="t" fillcolor="#a0a0a0" stroked="f"/>
                          </w:pict>
                        </w:r>
                      </w:p>
                    </w:tc>
                  </w:tr>
                  <w:tr w:rsidR="00C312B2">
                    <w:trPr>
                      <w:jc w:val="center"/>
                    </w:trPr>
                    <w:tc>
                      <w:tcPr>
                        <w:tcW w:w="9000" w:type="dxa"/>
                        <w:shd w:val="clear" w:color="auto" w:fill="396882"/>
                        <w:hideMark/>
                      </w:tcPr>
                      <w:tbl>
                        <w:tblPr>
                          <w:tblW w:w="5000" w:type="pct"/>
                          <w:tblCellMar>
                            <w:left w:w="0" w:type="dxa"/>
                            <w:right w:w="0" w:type="dxa"/>
                          </w:tblCellMar>
                          <w:tblLook w:val="04A0" w:firstRow="1" w:lastRow="0" w:firstColumn="1" w:lastColumn="0" w:noHBand="0" w:noVBand="1"/>
                        </w:tblPr>
                        <w:tblGrid>
                          <w:gridCol w:w="5755"/>
                          <w:gridCol w:w="36"/>
                          <w:gridCol w:w="3212"/>
                        </w:tblGrid>
                        <w:tr w:rsidR="00C312B2">
                          <w:tc>
                            <w:tcPr>
                              <w:tcW w:w="0" w:type="auto"/>
                              <w:tcMar>
                                <w:top w:w="15" w:type="dxa"/>
                                <w:left w:w="15" w:type="dxa"/>
                                <w:bottom w:w="15" w:type="dxa"/>
                                <w:right w:w="15" w:type="dxa"/>
                              </w:tcMar>
                              <w:hideMark/>
                            </w:tcPr>
                            <w:p w:rsidR="00C312B2" w:rsidRDefault="00C312B2">
                              <w:pPr>
                                <w:pStyle w:val="gdp"/>
                                <w:spacing w:before="240" w:beforeAutospacing="0" w:after="240" w:afterAutospacing="0"/>
                                <w:rPr>
                                  <w:rFonts w:ascii="Tahoma" w:hAnsi="Tahoma" w:cs="Tahoma"/>
                                  <w:color w:val="FFFFFF"/>
                                  <w:sz w:val="18"/>
                                  <w:szCs w:val="18"/>
                                </w:rPr>
                              </w:pPr>
                              <w:r>
                                <w:rPr>
                                  <w:rStyle w:val="Strong"/>
                                  <w:rFonts w:ascii="Tahoma" w:hAnsi="Tahoma" w:cs="Tahoma"/>
                                  <w:color w:val="FFFFFF"/>
                                  <w:sz w:val="18"/>
                                  <w:szCs w:val="18"/>
                                </w:rPr>
                                <w:lastRenderedPageBreak/>
                                <w:t>EVERY STUDENT READY FOR CAREER, COLLEGE, AND LIFE</w:t>
                              </w:r>
                              <w:r>
                                <w:rPr>
                                  <w:rFonts w:ascii="Tahoma" w:hAnsi="Tahoma" w:cs="Tahoma"/>
                                  <w:b/>
                                  <w:bCs/>
                                  <w:color w:val="FFFFFF"/>
                                  <w:sz w:val="18"/>
                                  <w:szCs w:val="18"/>
                                </w:rPr>
                                <w:br/>
                              </w:r>
                              <w:r>
                                <w:rPr>
                                  <w:rFonts w:ascii="Tahoma" w:hAnsi="Tahoma" w:cs="Tahoma"/>
                                  <w:color w:val="FFFFFF"/>
                                  <w:sz w:val="18"/>
                                  <w:szCs w:val="18"/>
                                </w:rPr>
                                <w:t xml:space="preserve">Led by State Superintendent Chris </w:t>
                              </w:r>
                              <w:proofErr w:type="spellStart"/>
                              <w:r>
                                <w:rPr>
                                  <w:rFonts w:ascii="Tahoma" w:hAnsi="Tahoma" w:cs="Tahoma"/>
                                  <w:color w:val="FFFFFF"/>
                                  <w:sz w:val="18"/>
                                  <w:szCs w:val="18"/>
                                </w:rPr>
                                <w:t>Reykdal</w:t>
                              </w:r>
                              <w:proofErr w:type="spellEnd"/>
                              <w:r>
                                <w:rPr>
                                  <w:rFonts w:ascii="Tahoma" w:hAnsi="Tahoma" w:cs="Tahoma"/>
                                  <w:color w:val="FFFFFF"/>
                                  <w:sz w:val="18"/>
                                  <w:szCs w:val="18"/>
                                </w:rPr>
                                <w:t>, OSPI oversees K-12 public education in Washington state. Our mission is to provide funding, resources, tools, data and technical assistance that enable educators to ensure students succeed in our public schools, are prepared to access post-secondary training and education, and are equipped to thrive in their careers and lives.</w:t>
                              </w:r>
                            </w:p>
                          </w:tc>
                          <w:tc>
                            <w:tcPr>
                              <w:tcW w:w="0" w:type="auto"/>
                              <w:tcMar>
                                <w:top w:w="15" w:type="dxa"/>
                                <w:left w:w="15" w:type="dxa"/>
                                <w:bottom w:w="15" w:type="dxa"/>
                                <w:right w:w="15" w:type="dxa"/>
                              </w:tcMar>
                              <w:hideMark/>
                            </w:tcPr>
                            <w:p w:rsidR="00C312B2" w:rsidRDefault="00C312B2">
                              <w:pPr>
                                <w:rPr>
                                  <w:rFonts w:ascii="Tahoma" w:hAnsi="Tahoma" w:cs="Tahoma"/>
                                  <w:color w:val="FFFFFF"/>
                                  <w:sz w:val="18"/>
                                  <w:szCs w:val="18"/>
                                </w:rPr>
                              </w:pPr>
                            </w:p>
                          </w:tc>
                          <w:tc>
                            <w:tcPr>
                              <w:tcW w:w="0" w:type="auto"/>
                              <w:tcMar>
                                <w:top w:w="15" w:type="dxa"/>
                                <w:left w:w="45" w:type="dxa"/>
                                <w:bottom w:w="15" w:type="dxa"/>
                                <w:right w:w="15" w:type="dxa"/>
                              </w:tcMar>
                              <w:hideMark/>
                            </w:tcPr>
                            <w:p w:rsidR="00C312B2" w:rsidRDefault="00C312B2">
                              <w:r>
                                <w:rPr>
                                  <w:noProof/>
                                </w:rPr>
                                <w:drawing>
                                  <wp:inline distT="0" distB="0" distL="0" distR="0">
                                    <wp:extent cx="2001520" cy="1332230"/>
                                    <wp:effectExtent l="0" t="0" r="0" b="1270"/>
                                    <wp:docPr id="2" name="Picture 2" descr="OSPI Old Capito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PI Old Capitol Buil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520" cy="1332230"/>
                                            </a:xfrm>
                                            <a:prstGeom prst="rect">
                                              <a:avLst/>
                                            </a:prstGeom>
                                            <a:noFill/>
                                            <a:ln>
                                              <a:noFill/>
                                            </a:ln>
                                          </pic:spPr>
                                        </pic:pic>
                                      </a:graphicData>
                                    </a:graphic>
                                  </wp:inline>
                                </w:drawing>
                              </w:r>
                            </w:p>
                          </w:tc>
                        </w:tr>
                      </w:tbl>
                      <w:p w:rsidR="00C312B2" w:rsidRDefault="00C312B2">
                        <w:pPr>
                          <w:rPr>
                            <w:rFonts w:ascii="Times New Roman" w:eastAsia="Times New Roman" w:hAnsi="Times New Roman" w:cs="Times New Roman"/>
                            <w:sz w:val="20"/>
                            <w:szCs w:val="20"/>
                          </w:rPr>
                        </w:pPr>
                      </w:p>
                    </w:tc>
                  </w:tr>
                </w:tbl>
                <w:p w:rsidR="00C312B2" w:rsidRDefault="00C312B2">
                  <w:pPr>
                    <w:jc w:val="center"/>
                    <w:rPr>
                      <w:rFonts w:ascii="Times New Roman" w:eastAsia="Times New Roman" w:hAnsi="Times New Roman" w:cs="Times New Roman"/>
                      <w:sz w:val="20"/>
                      <w:szCs w:val="20"/>
                    </w:rPr>
                  </w:pPr>
                </w:p>
              </w:tc>
            </w:tr>
          </w:tbl>
          <w:bookmarkEnd w:id="0"/>
          <w:p w:rsidR="00C312B2" w:rsidRDefault="00C312B2">
            <w:pPr>
              <w:pStyle w:val="NormalWeb"/>
            </w:pPr>
            <w:r>
              <w:rPr>
                <w:rStyle w:val="Strong"/>
                <w:rFonts w:ascii="Verdana" w:hAnsi="Verdana"/>
                <w:sz w:val="20"/>
                <w:szCs w:val="20"/>
              </w:rPr>
              <w:lastRenderedPageBreak/>
              <w:t>STAY IN TOUCH</w:t>
            </w:r>
            <w:r>
              <w:rPr>
                <w:rFonts w:ascii="Verdana" w:hAnsi="Verdana"/>
                <w:b/>
                <w:bCs/>
                <w:sz w:val="20"/>
                <w:szCs w:val="20"/>
              </w:rPr>
              <w:br/>
            </w:r>
            <w:hyperlink r:id="rId10" w:tooltip="Visit our website" w:history="1">
              <w:r>
                <w:rPr>
                  <w:rStyle w:val="Hyperlink"/>
                  <w:rFonts w:ascii="Verdana" w:hAnsi="Verdana"/>
                  <w:sz w:val="20"/>
                  <w:szCs w:val="20"/>
                </w:rPr>
                <w:t>Website</w:t>
              </w:r>
            </w:hyperlink>
            <w:r>
              <w:rPr>
                <w:rFonts w:ascii="Verdana" w:hAnsi="Verdana"/>
                <w:sz w:val="20"/>
                <w:szCs w:val="20"/>
              </w:rPr>
              <w:t xml:space="preserve"> | </w:t>
            </w:r>
            <w:hyperlink r:id="rId11" w:tooltip="OSPI on Twitter" w:history="1">
              <w:r>
                <w:rPr>
                  <w:rStyle w:val="Hyperlink"/>
                  <w:rFonts w:ascii="Verdana" w:hAnsi="Verdana"/>
                  <w:sz w:val="20"/>
                  <w:szCs w:val="20"/>
                </w:rPr>
                <w:t>Twitter</w:t>
              </w:r>
            </w:hyperlink>
            <w:r>
              <w:rPr>
                <w:rFonts w:ascii="Verdana" w:hAnsi="Verdana"/>
                <w:sz w:val="20"/>
                <w:szCs w:val="20"/>
              </w:rPr>
              <w:t xml:space="preserve"> | </w:t>
            </w:r>
            <w:hyperlink r:id="rId12" w:tooltip="OSPI on Facebook" w:history="1">
              <w:r>
                <w:rPr>
                  <w:rStyle w:val="Hyperlink"/>
                  <w:rFonts w:ascii="Verdana" w:hAnsi="Verdana"/>
                  <w:sz w:val="20"/>
                  <w:szCs w:val="20"/>
                </w:rPr>
                <w:t>Facebook</w:t>
              </w:r>
            </w:hyperlink>
            <w:r>
              <w:rPr>
                <w:rFonts w:ascii="Verdana" w:hAnsi="Verdana"/>
                <w:sz w:val="20"/>
                <w:szCs w:val="20"/>
              </w:rPr>
              <w:t xml:space="preserve"> | </w:t>
            </w:r>
            <w:hyperlink r:id="rId13" w:tooltip="OSPI on Flickr" w:history="1">
              <w:r>
                <w:rPr>
                  <w:rStyle w:val="Hyperlink"/>
                  <w:rFonts w:ascii="Verdana" w:hAnsi="Verdana"/>
                  <w:sz w:val="20"/>
                  <w:szCs w:val="20"/>
                </w:rPr>
                <w:t>Flickr</w:t>
              </w:r>
            </w:hyperlink>
            <w:r>
              <w:rPr>
                <w:rFonts w:ascii="Verdana" w:hAnsi="Verdana"/>
                <w:sz w:val="20"/>
                <w:szCs w:val="20"/>
              </w:rPr>
              <w:t xml:space="preserve"> | </w:t>
            </w:r>
            <w:hyperlink r:id="rId14" w:tgtFrame="_blank" w:tooltip="WaOSPI YouTube" w:history="1">
              <w:r>
                <w:rPr>
                  <w:rStyle w:val="Hyperlink"/>
                  <w:rFonts w:ascii="Verdana" w:hAnsi="Verdana"/>
                  <w:sz w:val="20"/>
                  <w:szCs w:val="20"/>
                </w:rPr>
                <w:t>YouTube</w:t>
              </w:r>
            </w:hyperlink>
            <w:r>
              <w:rPr>
                <w:rFonts w:ascii="Verdana" w:hAnsi="Verdana"/>
                <w:sz w:val="20"/>
                <w:szCs w:val="20"/>
              </w:rPr>
              <w:t> | </w:t>
            </w:r>
            <w:hyperlink r:id="rId15" w:tgtFrame="_blank" w:tooltip="Contact Us" w:history="1">
              <w:r>
                <w:rPr>
                  <w:rStyle w:val="Hyperlink"/>
                  <w:rFonts w:ascii="Verdana" w:hAnsi="Verdana"/>
                  <w:sz w:val="20"/>
                  <w:szCs w:val="20"/>
                </w:rPr>
                <w:t>Contact Us</w:t>
              </w:r>
            </w:hyperlink>
          </w:p>
          <w:p w:rsidR="00C312B2" w:rsidRDefault="00C312B2">
            <w:pPr>
              <w:pStyle w:val="NormalWeb"/>
            </w:pPr>
            <w:r>
              <w:rPr>
                <w:rStyle w:val="Strong"/>
                <w:rFonts w:ascii="Verdana" w:hAnsi="Verdana"/>
                <w:sz w:val="20"/>
                <w:szCs w:val="20"/>
              </w:rPr>
              <w:t>SUBSCRIBER SERVICES</w:t>
            </w:r>
            <w:r>
              <w:rPr>
                <w:rFonts w:ascii="Verdana" w:hAnsi="Verdana"/>
                <w:b/>
                <w:bCs/>
                <w:sz w:val="20"/>
                <w:szCs w:val="20"/>
              </w:rPr>
              <w:br/>
            </w:r>
            <w:r>
              <w:rPr>
                <w:rFonts w:ascii="Verdana" w:hAnsi="Verdana"/>
                <w:sz w:val="20"/>
                <w:szCs w:val="20"/>
              </w:rPr>
              <w:t xml:space="preserve">Update your subscriptions, modify your password or email address, or stop subscriptions at any time on your </w:t>
            </w:r>
            <w:hyperlink r:id="rId16" w:tooltip="Subscriber Preferences" w:history="1">
              <w:r>
                <w:rPr>
                  <w:rStyle w:val="Hyperlink"/>
                  <w:rFonts w:ascii="Verdana" w:hAnsi="Verdana"/>
                  <w:sz w:val="20"/>
                  <w:szCs w:val="20"/>
                </w:rPr>
                <w:t>Subscriber Preferences page</w:t>
              </w:r>
            </w:hyperlink>
            <w:r>
              <w:rPr>
                <w:rFonts w:ascii="Verdana" w:hAnsi="Verdana"/>
                <w:sz w:val="20"/>
                <w:szCs w:val="20"/>
              </w:rPr>
              <w:t xml:space="preserve">. You will need to use your email address to log in. If you have questions or problems with the subscription service, please visit </w:t>
            </w:r>
            <w:hyperlink r:id="rId17" w:history="1">
              <w:r>
                <w:rPr>
                  <w:rStyle w:val="Hyperlink"/>
                  <w:rFonts w:ascii="Verdana" w:hAnsi="Verdana"/>
                  <w:sz w:val="20"/>
                  <w:szCs w:val="20"/>
                </w:rPr>
                <w:t>subscriberhelp.govdelivery.com</w:t>
              </w:r>
            </w:hyperlink>
            <w:r>
              <w:rPr>
                <w:rFonts w:ascii="Verdana" w:hAnsi="Verdana"/>
                <w:sz w:val="20"/>
                <w:szCs w:val="20"/>
              </w:rPr>
              <w:t>.</w:t>
            </w:r>
          </w:p>
          <w:p w:rsidR="00C312B2" w:rsidRDefault="00C312B2">
            <w:pPr>
              <w:pStyle w:val="NormalWeb"/>
            </w:pPr>
            <w:r>
              <w:rPr>
                <w:rFonts w:ascii="Verdana" w:hAnsi="Verdana"/>
                <w:i/>
                <w:iCs/>
                <w:sz w:val="15"/>
                <w:szCs w:val="15"/>
              </w:rPr>
              <w:t xml:space="preserve">OSPI provides equal access to all programs and services without discrimination based on sex, race, creed, religion, color, national origin, age, honorably discharged veteran or military status, sexual orientation, gender expression, gender identity, disability, or the use of a trained dog guide or service animal by a person with a disability. Questions and complaints of alleged discrimination should be directed to the Equity and Civil Rights Director, P.O. Box 47200, Olympia, WA 98504-7200, 360-725-6162 (TTY: 360-664-3631), </w:t>
            </w:r>
            <w:hyperlink r:id="rId18" w:history="1">
              <w:r>
                <w:rPr>
                  <w:rStyle w:val="Hyperlink"/>
                  <w:rFonts w:ascii="Verdana" w:hAnsi="Verdana"/>
                  <w:i/>
                  <w:iCs/>
                  <w:sz w:val="15"/>
                  <w:szCs w:val="15"/>
                </w:rPr>
                <w:t>equity@k12.wa.us</w:t>
              </w:r>
            </w:hyperlink>
            <w:r>
              <w:rPr>
                <w:rFonts w:ascii="Verdana" w:hAnsi="Verdana"/>
                <w:i/>
                <w:iCs/>
                <w:sz w:val="15"/>
                <w:szCs w:val="15"/>
              </w:rPr>
              <w:t>.</w:t>
            </w:r>
            <w:r>
              <w:rPr>
                <w:rFonts w:ascii="Verdana" w:hAnsi="Verdana"/>
                <w:i/>
                <w:iCs/>
                <w:sz w:val="20"/>
                <w:szCs w:val="20"/>
              </w:rPr>
              <w:t xml:space="preserve"> </w:t>
            </w:r>
          </w:p>
          <w:p w:rsidR="00C312B2" w:rsidRDefault="00C312B2">
            <w:pPr>
              <w:jc w:val="center"/>
              <w:rPr>
                <w:rFonts w:eastAsia="Times New Roman"/>
              </w:rPr>
            </w:pPr>
            <w:r>
              <w:rPr>
                <w:rFonts w:eastAsia="Times New Roman"/>
              </w:rPr>
              <w:pict>
                <v:rect id="_x0000_i1116" style="width:458.65pt;height:.75pt" o:hrpct="980" o:hralign="center" o:hrstd="t" o:hr="t" fillcolor="#a0a0a0" stroked="f"/>
              </w:pict>
            </w:r>
          </w:p>
          <w:p w:rsidR="00C312B2" w:rsidRDefault="00C312B2">
            <w:pPr>
              <w:rPr>
                <w:rFonts w:ascii="Times New Roman" w:eastAsia="Times New Roman" w:hAnsi="Times New Roman" w:cs="Times New Roman"/>
                <w:sz w:val="20"/>
                <w:szCs w:val="20"/>
              </w:rPr>
            </w:pPr>
          </w:p>
        </w:tc>
      </w:tr>
    </w:tbl>
    <w:p w:rsidR="00F84779" w:rsidRDefault="00C312B2"/>
    <w:sectPr w:rsidR="00F84779" w:rsidSect="00C312B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42CF9"/>
    <w:multiLevelType w:val="multilevel"/>
    <w:tmpl w:val="2B86F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B2"/>
    <w:rsid w:val="005B0553"/>
    <w:rsid w:val="0095504B"/>
    <w:rsid w:val="00C3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8F8C7-F649-4F44-A78F-BF41D963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B2"/>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C312B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12B2"/>
    <w:rPr>
      <w:rFonts w:ascii="Calibri" w:hAnsi="Calibri" w:cs="Calibri"/>
      <w:b/>
      <w:bCs/>
      <w:sz w:val="36"/>
      <w:szCs w:val="36"/>
    </w:rPr>
  </w:style>
  <w:style w:type="character" w:styleId="Hyperlink">
    <w:name w:val="Hyperlink"/>
    <w:basedOn w:val="DefaultParagraphFont"/>
    <w:uiPriority w:val="99"/>
    <w:semiHidden/>
    <w:unhideWhenUsed/>
    <w:rsid w:val="00C312B2"/>
    <w:rPr>
      <w:color w:val="0000FF"/>
      <w:u w:val="single"/>
    </w:rPr>
  </w:style>
  <w:style w:type="paragraph" w:styleId="NormalWeb">
    <w:name w:val="Normal (Web)"/>
    <w:basedOn w:val="Normal"/>
    <w:uiPriority w:val="99"/>
    <w:semiHidden/>
    <w:unhideWhenUsed/>
    <w:rsid w:val="00C312B2"/>
    <w:pPr>
      <w:spacing w:before="100" w:beforeAutospacing="1" w:after="100" w:afterAutospacing="1"/>
    </w:pPr>
    <w:rPr>
      <w:rFonts w:ascii="Times New Roman" w:hAnsi="Times New Roman" w:cs="Times New Roman"/>
      <w:sz w:val="24"/>
      <w:szCs w:val="24"/>
    </w:rPr>
  </w:style>
  <w:style w:type="paragraph" w:customStyle="1" w:styleId="gdp">
    <w:name w:val="gd_p"/>
    <w:basedOn w:val="Normal"/>
    <w:uiPriority w:val="99"/>
    <w:semiHidden/>
    <w:rsid w:val="00C312B2"/>
    <w:pPr>
      <w:spacing w:before="100" w:beforeAutospacing="1" w:after="100" w:afterAutospacing="1"/>
    </w:pPr>
  </w:style>
  <w:style w:type="character" w:styleId="Strong">
    <w:name w:val="Strong"/>
    <w:basedOn w:val="DefaultParagraphFont"/>
    <w:uiPriority w:val="22"/>
    <w:qFormat/>
    <w:rsid w:val="00C31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k12.wa.us" TargetMode="External"/><Relationship Id="rId13"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5&amp;&amp;&amp;http://www.flickr.com/waOSPI" TargetMode="External"/><Relationship Id="rId18" Type="http://schemas.openxmlformats.org/officeDocument/2006/relationships/hyperlink" Target="mailto:equity@k12.wa.us" TargetMode="External"/><Relationship Id="rId3" Type="http://schemas.openxmlformats.org/officeDocument/2006/relationships/settings" Target="settings.xml"/><Relationship Id="rId7"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1&amp;&amp;&amp;http://www.k12.wa.us/Science/pubdocs/ScienceAssessExample.pdf" TargetMode="External"/><Relationship Id="rId12"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4&amp;&amp;&amp;http://www.facebook.com/waOSPI" TargetMode="External"/><Relationship Id="rId17" Type="http://schemas.openxmlformats.org/officeDocument/2006/relationships/hyperlink" Target="mailto:subscriberhelp.govdelivery.com" TargetMode="External"/><Relationship Id="rId2" Type="http://schemas.openxmlformats.org/officeDocument/2006/relationships/styles" Target="styles.xml"/><Relationship Id="rId16"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8&amp;&amp;&amp;https://public.govdelivery.com/accounts/WAOSPI/subscriber/new?preferences=tru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0&amp;&amp;&amp;http://www.surveygizmo.com/s3/4209485/Science-Assessment-Application-2018" TargetMode="External"/><Relationship Id="rId11"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3&amp;&amp;&amp;http://www.twitter.com/waOSPI" TargetMode="External"/><Relationship Id="rId5" Type="http://schemas.openxmlformats.org/officeDocument/2006/relationships/image" Target="media/image1.jpeg"/><Relationship Id="rId15"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7&amp;&amp;&amp;http://www.k12.wa.us/AboutUs/ContactUs.aspx" TargetMode="External"/><Relationship Id="rId10"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2&amp;&amp;&amp;http://www.k12.wa.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links.govdelivery.com:80/track?type=click&amp;enid=ZWFzPTEmbXNpZD0mYXVpZD0mbWFpbGluZ2lkPTIwMTgwMjIyLjg1NzQ4MzUxJm1lc3NhZ2VpZD1NREItUFJELUJVTC0yMDE4MDIyMi44NTc0ODM1MSZkYXRhYmFzZWlkPTEwMDEmc2VyaWFsPTE2OTczMTQwJmVtYWlsaWQ9Ym1hY25ldmluQG53ZXNkLm9yZyZ1c2VyaWQ9Ym1hY25ldmluQG53ZXNkLm9yZyZ0YXJnZXRpZD0mZmw9Jm12aWQ9JmV4dHJhPSYmJg==&amp;&amp;&amp;106&amp;&amp;&amp;https://www.youtube.com/user/waOS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Longchamps</dc:creator>
  <cp:keywords/>
  <dc:description/>
  <cp:lastModifiedBy>Jennifer Longchamps</cp:lastModifiedBy>
  <cp:revision>1</cp:revision>
  <dcterms:created xsi:type="dcterms:W3CDTF">2018-02-26T16:40:00Z</dcterms:created>
  <dcterms:modified xsi:type="dcterms:W3CDTF">2018-02-26T16:41:00Z</dcterms:modified>
</cp:coreProperties>
</file>