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320" w:lineRule="auto"/>
        <w:contextualSpacing w:val="0"/>
        <w:jc w:val="center"/>
        <w:rPr>
          <w:rFonts w:ascii="Century Gothic" w:cs="Century Gothic" w:eastAsia="Century Gothic" w:hAnsi="Century Gothic"/>
          <w:sz w:val="60"/>
          <w:szCs w:val="60"/>
        </w:rPr>
      </w:pPr>
      <w:r w:rsidDel="00000000" w:rsidR="00000000" w:rsidRPr="00000000">
        <w:rPr>
          <w:rFonts w:ascii="Century Gothic" w:cs="Century Gothic" w:eastAsia="Century Gothic" w:hAnsi="Century Gothic"/>
          <w:sz w:val="60"/>
          <w:szCs w:val="60"/>
          <w:rtl w:val="0"/>
        </w:rPr>
        <w:t xml:space="preserve">Newcomer</w:t>
      </w:r>
      <w:r w:rsidDel="00000000" w:rsidR="00000000" w:rsidRPr="00000000">
        <w:rPr>
          <w:rFonts w:ascii="Century Gothic" w:cs="Century Gothic" w:eastAsia="Century Gothic" w:hAnsi="Century Gothic"/>
          <w:sz w:val="60"/>
          <w:szCs w:val="60"/>
          <w:rtl w:val="0"/>
        </w:rPr>
        <w:t xml:space="preserve"> Artifact Box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Welcome Kit for New ELLs by Colorincolorado: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6">
        <w:r w:rsidDel="00000000" w:rsidR="00000000" w:rsidRPr="00000000">
          <w:rPr>
            <w:rFonts w:ascii="Century Gothic" w:cs="Century Gothic" w:eastAsia="Century Gothic" w:hAnsi="Century Gothic"/>
            <w:color w:val="0097a7"/>
            <w:sz w:val="28"/>
            <w:szCs w:val="28"/>
            <w:u w:val="single"/>
            <w:rtl w:val="0"/>
          </w:rPr>
          <w:t xml:space="preserve">http://www.colorincolorado.org/article/welcome-kit-new-ells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Department of Education Newcomer ToolKit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0097a7"/>
            <w:sz w:val="28"/>
            <w:szCs w:val="28"/>
            <w:u w:val="single"/>
            <w:rtl w:val="0"/>
          </w:rPr>
          <w:t xml:space="preserve">https://www2.ed.gov/about/offices/list/oela/newcomers-toolkit/ncomertoolkit.pdf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Multilingual Newcomer Toolkit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0097a7"/>
            <w:sz w:val="28"/>
            <w:szCs w:val="28"/>
            <w:u w:val="single"/>
            <w:rtl w:val="0"/>
          </w:rPr>
          <w:t xml:space="preserve">http://multilingual.mpls.k12.mn.us/newcomer_toolkit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Family Visit Article: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/>
      </w:pPr>
      <w:hyperlink r:id="rId9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https://learningforward.org/docs/leading-teacher/dec07_ginsberg.pdf?sfvrsn=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0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Newcomer Resources:</w:t>
      </w:r>
    </w:p>
    <w:p w:rsidR="00000000" w:rsidDel="00000000" w:rsidP="00000000" w:rsidRDefault="00000000" w:rsidRPr="00000000">
      <w:pPr>
        <w:widowControl w:val="0"/>
        <w:spacing w:after="0" w:line="24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1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highlight w:val="white"/>
            <w:u w:val="single"/>
            <w:rtl w:val="0"/>
          </w:rPr>
          <w:t xml:space="preserve">https://sites.google.com/a/mvsd320.org/rodriguez-s-resource/home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Instructional Supports:</w:t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2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http://www.ballard-tighe.com/frames-for-fluency/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Programs for Newcomer Supports:</w:t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3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http://www.ncela.us/files/feature_topics/newcomers/ElevatingELs_ProgramsForNewcomerStudents.pdf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Wayne P. Thomas and Virginia P. Collier Research:</w:t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4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http://www.ascd.org/ASCD/pdf/journals/ed_lead/el200310_thomas.pdf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OSPI EL program models and overviews:</w:t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5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http://www.k12.wa.us/MigrantBilingual/pubdocs/ProgramModels.pdf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Shadows Into Light Two" w:cs="Shadows Into Light Two" w:eastAsia="Shadows Into Light Two" w:hAnsi="Shadows Into Light Tw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Shadows Into Light Two" w:cs="Shadows Into Light Two" w:eastAsia="Shadows Into Light Two" w:hAnsi="Shadows Into Light Tw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Push In Models &amp; Resources: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4648200</wp:posOffset>
            </wp:positionH>
            <wp:positionV relativeFrom="paragraph">
              <wp:posOffset>47625</wp:posOffset>
            </wp:positionV>
            <wp:extent cx="2184162" cy="661988"/>
            <wp:effectExtent b="0" l="0" r="0" t="0"/>
            <wp:wrapSquare wrapText="bothSides" distB="114300" distT="114300" distL="114300" distR="114300"/>
            <wp:docPr descr="NWESD-logo-large.png" id="1" name="image2.png"/>
            <a:graphic>
              <a:graphicData uri="http://schemas.openxmlformats.org/drawingml/2006/picture">
                <pic:pic>
                  <pic:nvPicPr>
                    <pic:cNvPr descr="NWESD-logo-large.png" id="0" name="image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4162" cy="661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https://prezi.com/kwtos7dlleq9/push-in/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http://blog.tesol.org/pull-out-vs-push-in-esl-programs-in-elementary-schools/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19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http://gssaweb.org/wp-content/uploads/2015/11/Best-Practices-in-Inclusive-Instruction-for-ELLS.pdf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Apps:</w:t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28"/>
          <w:szCs w:val="28"/>
        </w:rPr>
      </w:pPr>
      <w:hyperlink r:id="rId20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8"/>
            <w:szCs w:val="28"/>
            <w:u w:val="single"/>
            <w:rtl w:val="0"/>
          </w:rPr>
          <w:t xml:space="preserve">https://www.eschoolnews.com/2016/07/18/the-best-apps-and-resources-for-english-language-learners/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color w:val="1155cc"/>
          <w:sz w:val="28"/>
          <w:szCs w:val="28"/>
          <w:u w:val="single"/>
        </w:rPr>
      </w:pPr>
      <w:r w:rsidDel="00000000" w:rsidR="00000000" w:rsidRPr="00000000">
        <w:fldChar w:fldCharType="begin"/>
        <w:instrText xml:space="preserve"> HYPERLINK "https://www.eschoolnews.com/2016/07/18/the-best-apps-and-resources-for-english-language-learners/"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color w:val="1155cc"/>
          <w:sz w:val="19"/>
          <w:szCs w:val="19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"https://www.eschoolnews.com/2016/07/18/the-best-apps-and-resources-for-english-language-learners/"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Century Gothic" w:cs="Century Gothic" w:eastAsia="Century Gothic" w:hAnsi="Century Gothic"/>
          <w:sz w:val="36"/>
          <w:szCs w:val="36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after="320" w:lineRule="auto"/>
        <w:contextualSpacing w:val="0"/>
        <w:rPr>
          <w:rFonts w:ascii="Shadows Into Light Two" w:cs="Shadows Into Light Two" w:eastAsia="Shadows Into Light Two" w:hAnsi="Shadows Into Light Two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21" w:type="default"/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Shadows Into Light Two">
    <w:embedRegular w:fontKey="{00000000-0000-0000-0000-000000000000}" r:id="rId1" w:subsetted="0"/>
  </w:font>
  <w:font w:name="Century Gothic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eschoolnews.com/2016/07/18/the-best-apps-and-resources-for-english-language-learners/" TargetMode="External"/><Relationship Id="rId11" Type="http://schemas.openxmlformats.org/officeDocument/2006/relationships/hyperlink" Target="https://sites.google.com/a/mvsd320.org/rodriguez-s-resource/home" TargetMode="External"/><Relationship Id="rId10" Type="http://schemas.openxmlformats.org/officeDocument/2006/relationships/hyperlink" Target="https://learningforward.org/docs/leading-teacher/dec07_ginsberg.pdf?sfvrsn=2" TargetMode="External"/><Relationship Id="rId21" Type="http://schemas.openxmlformats.org/officeDocument/2006/relationships/footer" Target="footer1.xml"/><Relationship Id="rId13" Type="http://schemas.openxmlformats.org/officeDocument/2006/relationships/hyperlink" Target="http://www.ncela.us/files/feature_topics/newcomers/ElevatingELs_ProgramsForNewcomerStudents.pdf" TargetMode="External"/><Relationship Id="rId12" Type="http://schemas.openxmlformats.org/officeDocument/2006/relationships/hyperlink" Target="http://www.ballard-tighe.com/frames-for-fluenc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arningforward.org/docs/leading-teacher/dec07_ginsberg.pdf?sfvrsn=2" TargetMode="External"/><Relationship Id="rId15" Type="http://schemas.openxmlformats.org/officeDocument/2006/relationships/hyperlink" Target="http://www.k12.wa.us/MigrantBilingual/pubdocs/ProgramModels.pdf" TargetMode="External"/><Relationship Id="rId14" Type="http://schemas.openxmlformats.org/officeDocument/2006/relationships/hyperlink" Target="http://www.ascd.org/ASCD/pdf/journals/ed_lead/el200310_thomas.pdf" TargetMode="External"/><Relationship Id="rId17" Type="http://schemas.openxmlformats.org/officeDocument/2006/relationships/hyperlink" Target="https://prezi.com/kwtos7dlleq9/push-in/" TargetMode="External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hyperlink" Target="http://gssaweb.org/wp-content/uploads/2015/11/Best-Practices-in-Inclusive-Instruction-for-ELLS.pdf" TargetMode="External"/><Relationship Id="rId6" Type="http://schemas.openxmlformats.org/officeDocument/2006/relationships/hyperlink" Target="http://www.colorincolorado.org/article/welcome-kit-new-ells" TargetMode="External"/><Relationship Id="rId18" Type="http://schemas.openxmlformats.org/officeDocument/2006/relationships/hyperlink" Target="http://blog.tesol.org/pull-out-vs-push-in-esl-programs-in-elementary-schools/" TargetMode="External"/><Relationship Id="rId7" Type="http://schemas.openxmlformats.org/officeDocument/2006/relationships/hyperlink" Target="https://www2.ed.gov/about/offices/list/oela/newcomers-toolkit/ncomertoolkit.pdf" TargetMode="External"/><Relationship Id="rId8" Type="http://schemas.openxmlformats.org/officeDocument/2006/relationships/hyperlink" Target="http://multilingual.mpls.k12.mn.us/newcomer_toolk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hadowsIntoLightTwo-regular.ttf"/><Relationship Id="rId2" Type="http://schemas.openxmlformats.org/officeDocument/2006/relationships/font" Target="fonts/CenturyGothic-regular.ttf"/><Relationship Id="rId3" Type="http://schemas.openxmlformats.org/officeDocument/2006/relationships/font" Target="fonts/CenturyGothic-bold.ttf"/><Relationship Id="rId4" Type="http://schemas.openxmlformats.org/officeDocument/2006/relationships/font" Target="fonts/CenturyGothic-italic.ttf"/><Relationship Id="rId5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