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39" w:rsidRDefault="00610539">
      <w:pPr>
        <w:rPr>
          <w:rFonts w:ascii="Garamond" w:eastAsia="Garamond" w:hAnsi="Garamond" w:cs="Garamond"/>
        </w:rPr>
      </w:pPr>
    </w:p>
    <w:tbl>
      <w:tblPr>
        <w:tblStyle w:val="a"/>
        <w:tblW w:w="10440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20"/>
        <w:gridCol w:w="669"/>
        <w:gridCol w:w="3741"/>
      </w:tblGrid>
      <w:tr w:rsidR="00610539" w:rsidTr="00AB7F59">
        <w:trPr>
          <w:trHeight w:val="492"/>
        </w:trPr>
        <w:tc>
          <w:tcPr>
            <w:tcW w:w="1710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Pr="00AB7F59" w:rsidRDefault="00C36F02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 w:rsidRPr="00AB7F59">
              <w:rPr>
                <w:rFonts w:ascii="Garamond" w:eastAsia="Garamond" w:hAnsi="Garamond" w:cs="Garamond"/>
                <w:b/>
              </w:rPr>
              <w:t>Ideas for EL Specialist professional learning captured in May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Pr="00AB7F59" w:rsidRDefault="00C36F02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 w:rsidRPr="00AB7F59">
              <w:rPr>
                <w:rFonts w:ascii="Garamond" w:eastAsia="Garamond" w:hAnsi="Garamond" w:cs="Garamond"/>
                <w:b/>
                <w:noProof/>
                <w:lang w:val="en-US"/>
              </w:rPr>
              <w:drawing>
                <wp:inline distT="114300" distB="114300" distL="114300" distR="114300">
                  <wp:extent cx="190500" cy="190500"/>
                  <wp:effectExtent l="0" t="0" r="0" b="0"/>
                  <wp:docPr id="1" name="image3.png" descr="File:Green check.svg - Wikimedia Comm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File:Green check.svg - Wikimedia Commons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Pr="00AB7F59" w:rsidRDefault="00C36F02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 w:rsidRPr="00AB7F59">
              <w:rPr>
                <w:rFonts w:ascii="Garamond" w:eastAsia="Garamond" w:hAnsi="Garamond" w:cs="Garamond"/>
                <w:b/>
              </w:rPr>
              <w:t>Considerations/</w:t>
            </w:r>
          </w:p>
          <w:p w:rsidR="00610539" w:rsidRPr="00AB7F59" w:rsidRDefault="00C36F02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 w:rsidRPr="00AB7F59">
              <w:rPr>
                <w:rFonts w:ascii="Garamond" w:eastAsia="Garamond" w:hAnsi="Garamond" w:cs="Garamond"/>
                <w:b/>
              </w:rPr>
              <w:t>Nuanced Information</w:t>
            </w:r>
          </w:p>
        </w:tc>
      </w:tr>
      <w:tr w:rsidR="00610539" w:rsidTr="00AB7F59">
        <w:trPr>
          <w:trHeight w:val="42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widowControl w:val="0"/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Working with all teachers to develop environments where EL students can thrive academically and linguistically.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Going deeper into academic vocabulary- grammar, tier 2 and 3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Technology for developing academic vocab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Modeling real strategies and how they would look in the classroom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GLAD and SIOP training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Coaching models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Coaching Practice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spacing w:line="259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spacing w:line="259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Developing programs and Services to support diverse English Learners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Information about newcomers- specific tools, materials, and examples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Before and after school models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Looking at data, schedules, and IAs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Looking at different program models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spacing w:line="259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spacing w:line="259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after="160" w:line="259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Developing programs and services to support families and community members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after="160"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Parent engagement/involvement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C36F02">
            <w:pPr>
              <w:spacing w:after="160" w:line="259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More info about Parent Academy</w:t>
            </w: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  <w:tr w:rsidR="00610539" w:rsidTr="00AB7F59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0539" w:rsidRDefault="00610539">
            <w:pPr>
              <w:spacing w:line="259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3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39" w:rsidRDefault="00610539">
            <w:pPr>
              <w:widowControl w:val="0"/>
              <w:spacing w:line="240" w:lineRule="auto"/>
              <w:rPr>
                <w:rFonts w:ascii="Garamond" w:eastAsia="Garamond" w:hAnsi="Garamond" w:cs="Garamond"/>
              </w:rPr>
            </w:pPr>
          </w:p>
        </w:tc>
      </w:tr>
    </w:tbl>
    <w:p w:rsidR="00610539" w:rsidRDefault="00610539">
      <w:bookmarkStart w:id="0" w:name="_GoBack"/>
      <w:bookmarkEnd w:id="0"/>
    </w:p>
    <w:sectPr w:rsidR="00610539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6F02">
      <w:pPr>
        <w:spacing w:line="240" w:lineRule="auto"/>
      </w:pPr>
      <w:r>
        <w:separator/>
      </w:r>
    </w:p>
  </w:endnote>
  <w:endnote w:type="continuationSeparator" w:id="0">
    <w:p w:rsidR="00000000" w:rsidRDefault="00C36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39" w:rsidRDefault="00C36F02">
    <w:r>
      <w:rPr>
        <w:rFonts w:ascii="Century Gothic" w:eastAsia="Century Gothic" w:hAnsi="Century Gothic" w:cs="Century Gothic"/>
        <w:noProof/>
        <w:sz w:val="48"/>
        <w:szCs w:val="48"/>
        <w:lang w:val="en-US"/>
      </w:rPr>
      <w:drawing>
        <wp:inline distT="114300" distB="114300" distL="114300" distR="114300">
          <wp:extent cx="2016305" cy="557213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6305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6F02">
      <w:pPr>
        <w:spacing w:line="240" w:lineRule="auto"/>
      </w:pPr>
      <w:r>
        <w:separator/>
      </w:r>
    </w:p>
  </w:footnote>
  <w:footnote w:type="continuationSeparator" w:id="0">
    <w:p w:rsidR="00000000" w:rsidRDefault="00C36F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39" w:rsidRDefault="00610539">
    <w:pPr>
      <w:jc w:val="center"/>
      <w:rPr>
        <w:rFonts w:ascii="Century Gothic" w:eastAsia="Century Gothic" w:hAnsi="Century Gothic" w:cs="Century Gothic"/>
        <w:sz w:val="48"/>
        <w:szCs w:val="48"/>
      </w:rPr>
    </w:pPr>
  </w:p>
  <w:p w:rsidR="00610539" w:rsidRDefault="00C36F02">
    <w:pPr>
      <w:jc w:val="center"/>
      <w:rPr>
        <w:rFonts w:ascii="Century Gothic" w:eastAsia="Century Gothic" w:hAnsi="Century Gothic" w:cs="Century Gothic"/>
        <w:sz w:val="48"/>
        <w:szCs w:val="48"/>
      </w:rPr>
    </w:pPr>
    <w:r>
      <w:rPr>
        <w:rFonts w:ascii="Century Gothic" w:eastAsia="Century Gothic" w:hAnsi="Century Gothic" w:cs="Century Gothic"/>
        <w:sz w:val="48"/>
        <w:szCs w:val="48"/>
      </w:rPr>
      <w:t>Input for EL Specialist Work 2017-18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39"/>
    <w:rsid w:val="00610539"/>
    <w:rsid w:val="00AB7F59"/>
    <w:rsid w:val="00C3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DE1A7-9F4B-423B-872D-C9D55F45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2017-12-22T19:29:00Z</dcterms:created>
  <dcterms:modified xsi:type="dcterms:W3CDTF">2017-12-22T19:29:00Z</dcterms:modified>
</cp:coreProperties>
</file>