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378"/>
        <w:gridCol w:w="2896"/>
        <w:gridCol w:w="1604"/>
        <w:gridCol w:w="330"/>
        <w:gridCol w:w="1219"/>
        <w:gridCol w:w="3401"/>
      </w:tblGrid>
      <w:tr w:rsidR="0070346C" w:rsidTr="00F62653">
        <w:trPr>
          <w:trHeight w:val="432"/>
        </w:trPr>
        <w:tc>
          <w:tcPr>
            <w:tcW w:w="9828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:rsidR="0070346C" w:rsidRPr="00F60AE3" w:rsidRDefault="0070346C" w:rsidP="002102D8">
            <w:pPr>
              <w:jc w:val="center"/>
              <w:rPr>
                <w:smallCaps/>
                <w:spacing w:val="20"/>
              </w:rPr>
            </w:pPr>
            <w:bookmarkStart w:id="0" w:name="_GoBack"/>
            <w:bookmarkEnd w:id="0"/>
            <w:r w:rsidRPr="00F60AE3">
              <w:rPr>
                <w:smallCaps/>
                <w:spacing w:val="20"/>
                <w:sz w:val="44"/>
              </w:rPr>
              <w:t xml:space="preserve">NWESD TOSA Project </w:t>
            </w:r>
            <w:r w:rsidR="002102D8">
              <w:rPr>
                <w:smallCaps/>
                <w:spacing w:val="20"/>
                <w:sz w:val="44"/>
              </w:rPr>
              <w:t>Midyear</w:t>
            </w:r>
            <w:r w:rsidRPr="00F60AE3">
              <w:rPr>
                <w:smallCaps/>
                <w:spacing w:val="20"/>
                <w:sz w:val="44"/>
              </w:rPr>
              <w:t xml:space="preserve"> Summary</w:t>
            </w:r>
          </w:p>
        </w:tc>
      </w:tr>
      <w:tr w:rsidR="005C2DE1" w:rsidTr="00F62653">
        <w:trPr>
          <w:trHeight w:val="351"/>
        </w:trPr>
        <w:tc>
          <w:tcPr>
            <w:tcW w:w="3274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B274AB" w:rsidRDefault="005C2DE1" w:rsidP="0099379E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District</w:t>
            </w:r>
            <w:r w:rsidR="00D3089F">
              <w:rPr>
                <w:b/>
                <w:smallCaps/>
              </w:rPr>
              <w:t>:</w:t>
            </w:r>
            <w:r w:rsidR="00A70717">
              <w:rPr>
                <w:b/>
                <w:smallCaps/>
              </w:rPr>
              <w:t xml:space="preserve"> </w:t>
            </w:r>
            <w:r w:rsidR="0099379E">
              <w:rPr>
                <w:smallCaps/>
              </w:rPr>
              <w:t>Arlington</w:t>
            </w:r>
          </w:p>
        </w:tc>
        <w:tc>
          <w:tcPr>
            <w:tcW w:w="6554" w:type="dxa"/>
            <w:gridSpan w:val="4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5C2DE1" w:rsidRPr="00F60AE3" w:rsidRDefault="005C2DE1" w:rsidP="005C2DE1">
            <w:pPr>
              <w:jc w:val="center"/>
              <w:rPr>
                <w:b/>
                <w:smallCaps/>
              </w:rPr>
            </w:pPr>
            <w:r w:rsidRPr="00F60AE3">
              <w:rPr>
                <w:b/>
                <w:smallCaps/>
              </w:rPr>
              <w:t>Participating Faculty</w:t>
            </w:r>
          </w:p>
        </w:tc>
      </w:tr>
      <w:tr w:rsidR="005C2DE1" w:rsidTr="00F62653">
        <w:trPr>
          <w:trHeight w:val="351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B274AB" w:rsidRDefault="0042175C" w:rsidP="006E2E60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Building</w:t>
            </w:r>
            <w:r w:rsidR="005C2DE1" w:rsidRPr="0045251C">
              <w:rPr>
                <w:b/>
                <w:smallCaps/>
              </w:rPr>
              <w:t>:</w:t>
            </w:r>
            <w:r w:rsidR="00A70717">
              <w:rPr>
                <w:b/>
                <w:smallCaps/>
              </w:rPr>
              <w:t xml:space="preserve"> </w:t>
            </w:r>
            <w:r w:rsidR="0099379E">
              <w:rPr>
                <w:smallCaps/>
              </w:rPr>
              <w:t>Haller Middle School</w:t>
            </w:r>
          </w:p>
        </w:tc>
        <w:tc>
          <w:tcPr>
            <w:tcW w:w="315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9F4906" w:rsidP="00B274AB">
            <w:r>
              <w:t>Scott Carpenter</w:t>
            </w:r>
            <w:r w:rsidR="00B274AB">
              <w:t xml:space="preserve"> </w:t>
            </w:r>
          </w:p>
        </w:tc>
        <w:tc>
          <w:tcPr>
            <w:tcW w:w="340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9F4906" w:rsidP="00A70717">
            <w:r>
              <w:t xml:space="preserve">Michael </w:t>
            </w:r>
            <w:proofErr w:type="spellStart"/>
            <w:r>
              <w:t>Shierk</w:t>
            </w:r>
            <w:proofErr w:type="spellEnd"/>
          </w:p>
        </w:tc>
      </w:tr>
      <w:tr w:rsidR="005C2DE1" w:rsidTr="00F62653">
        <w:trPr>
          <w:trHeight w:val="351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B274AB" w:rsidRDefault="005C2DE1" w:rsidP="006E2E60">
            <w:pPr>
              <w:tabs>
                <w:tab w:val="right" w:pos="2970"/>
              </w:tabs>
              <w:rPr>
                <w:smallCaps/>
              </w:rPr>
            </w:pPr>
            <w:r w:rsidRPr="0045251C">
              <w:rPr>
                <w:b/>
                <w:smallCaps/>
              </w:rPr>
              <w:t>Grade Level:</w:t>
            </w:r>
            <w:r w:rsidR="00A70717">
              <w:rPr>
                <w:b/>
                <w:smallCaps/>
              </w:rPr>
              <w:t xml:space="preserve"> </w:t>
            </w:r>
            <w:r w:rsidR="0099379E">
              <w:rPr>
                <w:smallCaps/>
              </w:rPr>
              <w:t>6-8</w:t>
            </w:r>
          </w:p>
        </w:tc>
        <w:tc>
          <w:tcPr>
            <w:tcW w:w="315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906" w:rsidRPr="00A70717" w:rsidRDefault="009F4906" w:rsidP="00B274AB">
            <w:r>
              <w:t>Eric DeJong</w:t>
            </w:r>
          </w:p>
        </w:tc>
        <w:tc>
          <w:tcPr>
            <w:tcW w:w="340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9F4906" w:rsidP="00D3089F">
            <w:r>
              <w:t>Jeff Swanson</w:t>
            </w:r>
          </w:p>
        </w:tc>
      </w:tr>
      <w:tr w:rsidR="005C2DE1" w:rsidTr="00F62653">
        <w:trPr>
          <w:trHeight w:val="352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B274AB" w:rsidRDefault="005C2DE1" w:rsidP="006E2E60">
            <w:pPr>
              <w:tabs>
                <w:tab w:val="right" w:pos="2880"/>
              </w:tabs>
              <w:rPr>
                <w:smallCaps/>
              </w:rPr>
            </w:pPr>
            <w:r w:rsidRPr="0045251C">
              <w:rPr>
                <w:b/>
                <w:smallCaps/>
              </w:rPr>
              <w:t>Year:</w:t>
            </w:r>
            <w:r w:rsidR="00A70717">
              <w:rPr>
                <w:b/>
                <w:smallCaps/>
              </w:rPr>
              <w:t xml:space="preserve"> </w:t>
            </w:r>
            <w:r w:rsidR="00B274AB">
              <w:rPr>
                <w:smallCaps/>
              </w:rPr>
              <w:t>2011-2012</w:t>
            </w:r>
          </w:p>
        </w:tc>
        <w:tc>
          <w:tcPr>
            <w:tcW w:w="315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9F4906" w:rsidP="00B274AB">
            <w:r>
              <w:t xml:space="preserve">Norman </w:t>
            </w:r>
            <w:proofErr w:type="spellStart"/>
            <w:r>
              <w:t>Engell</w:t>
            </w:r>
            <w:proofErr w:type="spellEnd"/>
          </w:p>
        </w:tc>
        <w:tc>
          <w:tcPr>
            <w:tcW w:w="340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A70717" w:rsidRPr="00A70717" w:rsidRDefault="009F4906" w:rsidP="00D3089F">
            <w:r>
              <w:t>Cindy Whitehead</w:t>
            </w:r>
          </w:p>
        </w:tc>
      </w:tr>
      <w:tr w:rsidR="005C2DE1" w:rsidTr="00F62653">
        <w:trPr>
          <w:trHeight w:val="352"/>
        </w:trPr>
        <w:tc>
          <w:tcPr>
            <w:tcW w:w="3274" w:type="dxa"/>
            <w:gridSpan w:val="2"/>
            <w:tcBorders>
              <w:left w:val="thinThickSmallGap" w:sz="24" w:space="0" w:color="auto"/>
              <w:right w:val="single" w:sz="18" w:space="0" w:color="auto"/>
            </w:tcBorders>
            <w:vAlign w:val="center"/>
          </w:tcPr>
          <w:p w:rsidR="005C2DE1" w:rsidRPr="00B274AB" w:rsidRDefault="005C2DE1" w:rsidP="006E2E60">
            <w:pPr>
              <w:tabs>
                <w:tab w:val="right" w:pos="2880"/>
              </w:tabs>
            </w:pPr>
            <w:r w:rsidRPr="0045251C">
              <w:rPr>
                <w:b/>
                <w:smallCaps/>
              </w:rPr>
              <w:t>TOSA:</w:t>
            </w:r>
            <w:r w:rsidR="00A70717">
              <w:rPr>
                <w:b/>
                <w:smallCaps/>
              </w:rPr>
              <w:t xml:space="preserve"> </w:t>
            </w:r>
            <w:r w:rsidR="00B274AB">
              <w:rPr>
                <w:smallCaps/>
              </w:rPr>
              <w:t>David Heaton-Bush</w:t>
            </w:r>
          </w:p>
        </w:tc>
        <w:tc>
          <w:tcPr>
            <w:tcW w:w="315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C2DE1" w:rsidRPr="00A70717" w:rsidRDefault="009F4906" w:rsidP="00A70717">
            <w:r>
              <w:t>Dawn Hogan</w:t>
            </w:r>
          </w:p>
        </w:tc>
        <w:tc>
          <w:tcPr>
            <w:tcW w:w="3401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5C2DE1" w:rsidRPr="00A70717" w:rsidRDefault="009F4906" w:rsidP="00D3089F">
            <w:r>
              <w:t>Julie Winchell</w:t>
            </w:r>
          </w:p>
        </w:tc>
      </w:tr>
      <w:tr w:rsidR="0042175C" w:rsidTr="00F62653">
        <w:trPr>
          <w:trHeight w:val="360"/>
        </w:trPr>
        <w:tc>
          <w:tcPr>
            <w:tcW w:w="3274" w:type="dxa"/>
            <w:gridSpan w:val="2"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175C" w:rsidRPr="00F60AE3" w:rsidRDefault="0042175C" w:rsidP="006C005A">
            <w:pPr>
              <w:jc w:val="center"/>
              <w:rPr>
                <w:b/>
                <w:smallCaps/>
              </w:rPr>
            </w:pPr>
            <w:r w:rsidRPr="00F60AE3">
              <w:rPr>
                <w:b/>
                <w:smallCaps/>
              </w:rPr>
              <w:t>Meeting Dates</w:t>
            </w:r>
          </w:p>
        </w:tc>
        <w:tc>
          <w:tcPr>
            <w:tcW w:w="6554" w:type="dxa"/>
            <w:gridSpan w:val="4"/>
            <w:tcBorders>
              <w:top w:val="single" w:sz="18" w:space="0" w:color="auto"/>
              <w:left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2175C" w:rsidRPr="00F60AE3" w:rsidRDefault="00D3089F" w:rsidP="006C005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Local Focus</w:t>
            </w:r>
          </w:p>
        </w:tc>
      </w:tr>
      <w:tr w:rsidR="0042175C" w:rsidTr="00F62653">
        <w:trPr>
          <w:trHeight w:val="1502"/>
        </w:trPr>
        <w:tc>
          <w:tcPr>
            <w:tcW w:w="3274" w:type="dxa"/>
            <w:gridSpan w:val="2"/>
            <w:tcBorders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70717" w:rsidRDefault="0009791B" w:rsidP="00B274AB">
            <w:pPr>
              <w:rPr>
                <w:smallCaps/>
              </w:rPr>
            </w:pPr>
            <w:r>
              <w:rPr>
                <w:smallCaps/>
              </w:rPr>
              <w:t>Monday, October 24</w:t>
            </w:r>
          </w:p>
          <w:p w:rsidR="00B274AB" w:rsidRDefault="0009791B" w:rsidP="00B274AB">
            <w:pPr>
              <w:rPr>
                <w:smallCaps/>
              </w:rPr>
            </w:pPr>
            <w:r>
              <w:rPr>
                <w:smallCaps/>
              </w:rPr>
              <w:t>Monday, October 31</w:t>
            </w:r>
          </w:p>
          <w:p w:rsidR="00B274AB" w:rsidRDefault="0009791B" w:rsidP="00B274AB">
            <w:pPr>
              <w:rPr>
                <w:smallCaps/>
              </w:rPr>
            </w:pPr>
            <w:r>
              <w:rPr>
                <w:smallCaps/>
              </w:rPr>
              <w:t>Monday, November 14</w:t>
            </w:r>
          </w:p>
          <w:p w:rsidR="0009791B" w:rsidRPr="0045251C" w:rsidRDefault="0009791B" w:rsidP="00B274AB">
            <w:pPr>
              <w:rPr>
                <w:smallCaps/>
              </w:rPr>
            </w:pPr>
            <w:r>
              <w:rPr>
                <w:smallCaps/>
              </w:rPr>
              <w:t>Wednesday, November 16</w:t>
            </w:r>
          </w:p>
        </w:tc>
        <w:tc>
          <w:tcPr>
            <w:tcW w:w="6554" w:type="dxa"/>
            <w:gridSpan w:val="4"/>
            <w:tcBorders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E33224" w:rsidRDefault="0059041E" w:rsidP="006C005A">
            <w:r>
              <w:t>Haller Middle school’s participation in the NWESD TOSA Program</w:t>
            </w:r>
            <w:r w:rsidR="00CC76A8">
              <w:t xml:space="preserve"> began in late October. The five</w:t>
            </w:r>
            <w:r>
              <w:t xml:space="preserve"> hours of work put in by the 7 teachers and one principal involved have been focused on how problem solving skills can be taught and nurtured in students and how to combine learning standards for more efficient teaching. </w:t>
            </w:r>
          </w:p>
        </w:tc>
      </w:tr>
      <w:tr w:rsidR="0042175C" w:rsidTr="00F62653">
        <w:trPr>
          <w:trHeight w:val="405"/>
        </w:trPr>
        <w:tc>
          <w:tcPr>
            <w:tcW w:w="9828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:rsidR="0042175C" w:rsidRPr="0045251C" w:rsidRDefault="00DF6293" w:rsidP="006D391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Key Outcomes</w:t>
            </w:r>
            <w:r w:rsidR="0042175C" w:rsidRPr="0045251C">
              <w:rPr>
                <w:b/>
                <w:smallCaps/>
              </w:rPr>
              <w:t xml:space="preserve"> for Team</w:t>
            </w:r>
          </w:p>
        </w:tc>
      </w:tr>
      <w:tr w:rsidR="0045251C" w:rsidTr="00227557">
        <w:trPr>
          <w:cantSplit/>
          <w:trHeight w:val="2952"/>
        </w:trPr>
        <w:tc>
          <w:tcPr>
            <w:tcW w:w="37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Content Knowledge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51C" w:rsidRPr="00E33224" w:rsidRDefault="00283115" w:rsidP="00D3089F">
            <w:r>
              <w:t xml:space="preserve">Our focus so far this year has been on teaching students the strategies of problem solving. We haven’t spent </w:t>
            </w:r>
            <w:r w:rsidR="003025B5">
              <w:t xml:space="preserve">much </w:t>
            </w:r>
            <w:r>
              <w:t>time on any specific content area</w:t>
            </w:r>
            <w:r w:rsidR="003025B5">
              <w:t>s</w:t>
            </w:r>
            <w:r>
              <w:t>, such as fractions, ratios, etc. We did spend a half hour expanding teachers’ understanding of Venn diagrams and how they can be used in probability problems</w:t>
            </w:r>
            <w:r w:rsidR="003025B5">
              <w:t>,</w:t>
            </w:r>
            <w:r>
              <w:t xml:space="preserve"> as well as in the grouping problems we see explicitly mentioned in the state standards.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Knowledge Of Standards</w:t>
            </w:r>
          </w:p>
        </w:tc>
        <w:tc>
          <w:tcPr>
            <w:tcW w:w="4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227557" w:rsidRDefault="00283115" w:rsidP="00D3089F">
            <w:r>
              <w:t xml:space="preserve">Our work has centered on the process standards so far, which are presented at the end of each years’ state mathematics learning standards. These </w:t>
            </w:r>
            <w:r w:rsidR="003025B5">
              <w:t>standards are implicitly tested</w:t>
            </w:r>
            <w:r>
              <w:t xml:space="preserve"> on the MSP through other content areas and measure the students’ ability to think and reason as a mathematician and apply their skills to unfamiliar situations. Haller’s team constructed a learnin</w:t>
            </w:r>
            <w:r w:rsidR="003025B5">
              <w:t>g progression focused on</w:t>
            </w:r>
            <w:r>
              <w:t xml:space="preserve"> problem solving and independently developed many of the same s</w:t>
            </w:r>
            <w:r w:rsidR="003025B5">
              <w:t>tandards that the state provides</w:t>
            </w:r>
            <w:r>
              <w:t>.</w:t>
            </w:r>
          </w:p>
        </w:tc>
      </w:tr>
      <w:tr w:rsidR="0045251C" w:rsidTr="00227557">
        <w:trPr>
          <w:cantSplit/>
          <w:trHeight w:val="2952"/>
        </w:trPr>
        <w:tc>
          <w:tcPr>
            <w:tcW w:w="37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Formative Assessments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51C" w:rsidRPr="00A62E33" w:rsidRDefault="00283115" w:rsidP="005F4CBC">
            <w:r>
              <w:t>Haller Middle School math team has developed a learning progress</w:t>
            </w:r>
            <w:r w:rsidR="003025B5">
              <w:t>ion</w:t>
            </w:r>
            <w:r>
              <w:t xml:space="preserve"> on problem solving. They identified sub skills that must be present in a good problem solver. For each of these subskills, the team developed a formative assessment technique to quickly determine whether an individual student or the clas</w:t>
            </w:r>
            <w:r w:rsidR="003025B5">
              <w:t>s as a whole has a grasp on the</w:t>
            </w:r>
            <w:r>
              <w:t xml:space="preserve"> skill. We have discussed how these techniques can be expanded to encompass assess</w:t>
            </w:r>
            <w:r w:rsidR="003025B5">
              <w:t>ing</w:t>
            </w:r>
            <w:r>
              <w:t xml:space="preserve"> content knowledge in students as well.</w:t>
            </w:r>
          </w:p>
        </w:tc>
        <w:tc>
          <w:tcPr>
            <w:tcW w:w="3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45251C" w:rsidRPr="0045251C" w:rsidRDefault="0045251C" w:rsidP="0045251C">
            <w:pPr>
              <w:ind w:left="113" w:right="113"/>
              <w:jc w:val="center"/>
              <w:rPr>
                <w:b/>
                <w:smallCaps/>
              </w:rPr>
            </w:pPr>
            <w:r w:rsidRPr="0045251C">
              <w:rPr>
                <w:b/>
                <w:smallCaps/>
              </w:rPr>
              <w:t>Instructional Best Practices</w:t>
            </w:r>
          </w:p>
        </w:tc>
        <w:tc>
          <w:tcPr>
            <w:tcW w:w="4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45251C" w:rsidRPr="005F4CBC" w:rsidRDefault="00F83303" w:rsidP="00EE6458">
            <w:r>
              <w:t xml:space="preserve">Our conversations about best practices have thus far concerned creating rich authentic tasks with which students can practice their problem solving skills. We are also working on increasing the level </w:t>
            </w:r>
            <w:r w:rsidR="00BE5D5A">
              <w:t>and amount of student discourse in the classroom, as current research suggests that this is a large factor in understanding and retention.</w:t>
            </w:r>
          </w:p>
        </w:tc>
      </w:tr>
      <w:tr w:rsidR="00D3089F" w:rsidTr="00F62653">
        <w:trPr>
          <w:cantSplit/>
          <w:trHeight w:val="252"/>
        </w:trPr>
        <w:tc>
          <w:tcPr>
            <w:tcW w:w="9828" w:type="dxa"/>
            <w:gridSpan w:val="6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3089F" w:rsidRPr="0045251C" w:rsidRDefault="00D3089F" w:rsidP="00D3089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Participant Reflections/Comments</w:t>
            </w:r>
          </w:p>
        </w:tc>
      </w:tr>
      <w:tr w:rsidR="00D3089F" w:rsidTr="00EE6458">
        <w:trPr>
          <w:cantSplit/>
          <w:trHeight w:val="1620"/>
        </w:trPr>
        <w:tc>
          <w:tcPr>
            <w:tcW w:w="9828" w:type="dxa"/>
            <w:gridSpan w:val="6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8732EA" w:rsidRDefault="008732EA" w:rsidP="008732EA">
            <w:pPr>
              <w:autoSpaceDE w:val="0"/>
              <w:autoSpaceDN w:val="0"/>
              <w:adjustRightInd w:val="0"/>
              <w:rPr>
                <w:rFonts w:ascii="TT14Et00" w:hAnsi="TT14Et00" w:cs="TT14Et00"/>
              </w:rPr>
            </w:pPr>
            <w:r>
              <w:rPr>
                <w:rFonts w:ascii="TT14Et00" w:hAnsi="TT14Et00" w:cs="TT14Et00"/>
              </w:rPr>
              <w:t>“Our teaching has become more intentional with respect to planning awareness in terms of lesson</w:t>
            </w:r>
          </w:p>
          <w:p w:rsidR="00D3089F" w:rsidRPr="00EE6458" w:rsidRDefault="008732EA" w:rsidP="008732EA">
            <w:pPr>
              <w:autoSpaceDE w:val="0"/>
              <w:autoSpaceDN w:val="0"/>
              <w:adjustRightInd w:val="0"/>
            </w:pPr>
            <w:r>
              <w:rPr>
                <w:rFonts w:ascii="TT14Et00" w:hAnsi="TT14Et00" w:cs="TT14Et00"/>
              </w:rPr>
              <w:t>progression.” • “Planning the lesson together has made me go deeper into my own lesson planning. More than here is the material, here is how you do it. Get Busy.”</w:t>
            </w:r>
          </w:p>
        </w:tc>
      </w:tr>
    </w:tbl>
    <w:p w:rsidR="00A70717" w:rsidRDefault="00A70717"/>
    <w:sectPr w:rsidR="00A70717" w:rsidSect="00F60AE3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03" w:rsidRDefault="00F83303" w:rsidP="0045251C">
      <w:pPr>
        <w:spacing w:after="0" w:line="240" w:lineRule="auto"/>
      </w:pPr>
      <w:r>
        <w:separator/>
      </w:r>
    </w:p>
  </w:endnote>
  <w:endnote w:type="continuationSeparator" w:id="0">
    <w:p w:rsidR="00F83303" w:rsidRDefault="00F83303" w:rsidP="0045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4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03" w:rsidRDefault="00F83303" w:rsidP="0045251C">
      <w:pPr>
        <w:spacing w:after="0" w:line="240" w:lineRule="auto"/>
      </w:pPr>
      <w:r>
        <w:separator/>
      </w:r>
    </w:p>
  </w:footnote>
  <w:footnote w:type="continuationSeparator" w:id="0">
    <w:p w:rsidR="00F83303" w:rsidRDefault="00F83303" w:rsidP="0045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303" w:rsidRDefault="00F83303" w:rsidP="004A7051">
    <w:pPr>
      <w:pStyle w:val="Header"/>
      <w:tabs>
        <w:tab w:val="left" w:pos="0"/>
      </w:tabs>
      <w:ind w:left="-1440" w:firstLine="108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1981200</wp:posOffset>
              </wp:positionH>
              <wp:positionV relativeFrom="paragraph">
                <wp:posOffset>19050</wp:posOffset>
              </wp:positionV>
              <wp:extent cx="4248150" cy="3524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303" w:rsidRPr="001A6646" w:rsidRDefault="00F83303" w:rsidP="004A7051">
                          <w:pPr>
                            <w:pStyle w:val="Header"/>
                            <w:tabs>
                              <w:tab w:val="left" w:pos="0"/>
                            </w:tabs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1A6646">
                            <w:rPr>
                              <w:b/>
                              <w:noProof/>
                              <w:sz w:val="32"/>
                              <w:szCs w:val="32"/>
                            </w:rPr>
                            <w:t>Math &amp; Science Collaborative Inquiry Project</w:t>
                          </w:r>
                        </w:p>
                        <w:p w:rsidR="00F83303" w:rsidRDefault="00F833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6pt;margin-top:1.5pt;width:334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" stroked="f">
              <v:textbox>
                <w:txbxContent>
                  <w:p w:rsidR="00F83303" w:rsidRPr="001A6646" w:rsidRDefault="00F83303" w:rsidP="004A7051">
                    <w:pPr>
                      <w:pStyle w:val="Header"/>
                      <w:tabs>
                        <w:tab w:val="left" w:pos="0"/>
                      </w:tabs>
                      <w:jc w:val="right"/>
                      <w:rPr>
                        <w:b/>
                        <w:sz w:val="32"/>
                        <w:szCs w:val="32"/>
                      </w:rPr>
                    </w:pPr>
                    <w:r w:rsidRPr="001A6646">
                      <w:rPr>
                        <w:b/>
                        <w:noProof/>
                        <w:sz w:val="32"/>
                        <w:szCs w:val="32"/>
                      </w:rPr>
                      <w:t>Math &amp; Science Collaborative Inquiry Project</w:t>
                    </w:r>
                  </w:p>
                  <w:p w:rsidR="00F83303" w:rsidRDefault="00F83303"/>
                </w:txbxContent>
              </v:textbox>
            </v:shape>
          </w:pict>
        </mc:Fallback>
      </mc:AlternateContent>
    </w:r>
    <w:r w:rsidRPr="001A6646">
      <w:rPr>
        <w:noProof/>
      </w:rPr>
      <w:drawing>
        <wp:inline distT="0" distB="0" distL="0" distR="0">
          <wp:extent cx="1771650" cy="438150"/>
          <wp:effectExtent l="19050" t="0" r="0" b="0"/>
          <wp:docPr id="3" name="Picture 1" descr="NWESD logo BW_Lar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ESD logo BW_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7220" cy="439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303" w:rsidRDefault="00F83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6C"/>
    <w:rsid w:val="0002773D"/>
    <w:rsid w:val="0009791B"/>
    <w:rsid w:val="000A50FD"/>
    <w:rsid w:val="000C0CBC"/>
    <w:rsid w:val="000E1B6F"/>
    <w:rsid w:val="000E7065"/>
    <w:rsid w:val="000F0872"/>
    <w:rsid w:val="001B5AB6"/>
    <w:rsid w:val="002102D8"/>
    <w:rsid w:val="00227557"/>
    <w:rsid w:val="00273032"/>
    <w:rsid w:val="00283115"/>
    <w:rsid w:val="003025B5"/>
    <w:rsid w:val="00360B8E"/>
    <w:rsid w:val="0042175C"/>
    <w:rsid w:val="0045251C"/>
    <w:rsid w:val="004A7051"/>
    <w:rsid w:val="0059041E"/>
    <w:rsid w:val="005C2DE1"/>
    <w:rsid w:val="005F4CBC"/>
    <w:rsid w:val="00644660"/>
    <w:rsid w:val="006937C2"/>
    <w:rsid w:val="006C005A"/>
    <w:rsid w:val="006D33B6"/>
    <w:rsid w:val="006D3917"/>
    <w:rsid w:val="006E2E60"/>
    <w:rsid w:val="0070346C"/>
    <w:rsid w:val="007575C7"/>
    <w:rsid w:val="00794D31"/>
    <w:rsid w:val="008732EA"/>
    <w:rsid w:val="008B0849"/>
    <w:rsid w:val="00902F22"/>
    <w:rsid w:val="0091509E"/>
    <w:rsid w:val="0099379E"/>
    <w:rsid w:val="009F4906"/>
    <w:rsid w:val="00A62E33"/>
    <w:rsid w:val="00A70717"/>
    <w:rsid w:val="00A9778C"/>
    <w:rsid w:val="00B274AB"/>
    <w:rsid w:val="00B73542"/>
    <w:rsid w:val="00BE5D5A"/>
    <w:rsid w:val="00CC76A8"/>
    <w:rsid w:val="00D3089F"/>
    <w:rsid w:val="00DE5086"/>
    <w:rsid w:val="00DF6293"/>
    <w:rsid w:val="00E33224"/>
    <w:rsid w:val="00EE6458"/>
    <w:rsid w:val="00F60AE3"/>
    <w:rsid w:val="00F62653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4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1C"/>
  </w:style>
  <w:style w:type="paragraph" w:styleId="Footer">
    <w:name w:val="footer"/>
    <w:basedOn w:val="Normal"/>
    <w:link w:val="Foot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1C"/>
  </w:style>
  <w:style w:type="paragraph" w:styleId="BalloonText">
    <w:name w:val="Balloon Text"/>
    <w:basedOn w:val="Normal"/>
    <w:link w:val="BalloonTextChar"/>
    <w:uiPriority w:val="99"/>
    <w:semiHidden/>
    <w:unhideWhenUsed/>
    <w:rsid w:val="0090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346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1C"/>
  </w:style>
  <w:style w:type="paragraph" w:styleId="Footer">
    <w:name w:val="footer"/>
    <w:basedOn w:val="Normal"/>
    <w:link w:val="FooterChar"/>
    <w:uiPriority w:val="99"/>
    <w:unhideWhenUsed/>
    <w:rsid w:val="0045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1C"/>
  </w:style>
  <w:style w:type="paragraph" w:styleId="BalloonText">
    <w:name w:val="Balloon Text"/>
    <w:basedOn w:val="Normal"/>
    <w:link w:val="BalloonTextChar"/>
    <w:uiPriority w:val="99"/>
    <w:semiHidden/>
    <w:unhideWhenUsed/>
    <w:rsid w:val="0090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DA2EF17D</Template>
  <TotalTime>0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 189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Heaton-Bush</dc:creator>
  <cp:lastModifiedBy>Jennifer Longchamps</cp:lastModifiedBy>
  <cp:revision>2</cp:revision>
  <cp:lastPrinted>2011-05-03T22:58:00Z</cp:lastPrinted>
  <dcterms:created xsi:type="dcterms:W3CDTF">2012-02-13T22:37:00Z</dcterms:created>
  <dcterms:modified xsi:type="dcterms:W3CDTF">2012-02-13T22:37:00Z</dcterms:modified>
</cp:coreProperties>
</file>