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B76" w:rsidRDefault="008E4B76" w:rsidP="008E4B76">
      <w:pPr>
        <w:tabs>
          <w:tab w:val="left" w:pos="5340"/>
        </w:tabs>
        <w:ind w:hanging="270"/>
      </w:pPr>
      <w:bookmarkStart w:id="0" w:name="_GoBack"/>
      <w:bookmarkEnd w:id="0"/>
      <w:r>
        <w:rPr>
          <w:noProof/>
          <w:lang w:eastAsia="en-US"/>
        </w:rPr>
        <w:drawing>
          <wp:inline distT="0" distB="0" distL="0" distR="0" wp14:anchorId="4CFF2D87" wp14:editId="748267E3">
            <wp:extent cx="2462369" cy="68048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ESD Logo.JPG"/>
                    <pic:cNvPicPr/>
                  </pic:nvPicPr>
                  <pic:blipFill>
                    <a:blip r:embed="rId6">
                      <a:extLst>
                        <a:ext uri="{28A0092B-C50C-407E-A947-70E740481C1C}">
                          <a14:useLocalDpi xmlns:a14="http://schemas.microsoft.com/office/drawing/2010/main" val="0"/>
                        </a:ext>
                      </a:extLst>
                    </a:blip>
                    <a:stretch>
                      <a:fillRect/>
                    </a:stretch>
                  </pic:blipFill>
                  <pic:spPr>
                    <a:xfrm>
                      <a:off x="0" y="0"/>
                      <a:ext cx="2502017" cy="691441"/>
                    </a:xfrm>
                    <a:prstGeom prst="rect">
                      <a:avLst/>
                    </a:prstGeom>
                  </pic:spPr>
                </pic:pic>
              </a:graphicData>
            </a:graphic>
          </wp:inline>
        </w:drawing>
      </w:r>
      <w:r>
        <w:tab/>
      </w:r>
    </w:p>
    <w:p w:rsidR="008E4B76" w:rsidRDefault="008E4B76" w:rsidP="001D2E30">
      <w:pPr>
        <w:jc w:val="center"/>
        <w:rPr>
          <w:rFonts w:ascii="Palatino Linotype" w:hAnsi="Palatino Linotype"/>
          <w:b/>
          <w:sz w:val="28"/>
          <w:szCs w:val="28"/>
        </w:rPr>
      </w:pPr>
    </w:p>
    <w:p w:rsidR="001D2E30" w:rsidRPr="008E4B76" w:rsidRDefault="00772124" w:rsidP="001D2E30">
      <w:pPr>
        <w:jc w:val="center"/>
        <w:rPr>
          <w:rFonts w:asciiTheme="majorHAnsi" w:hAnsiTheme="majorHAnsi"/>
          <w:b/>
          <w:sz w:val="32"/>
          <w:szCs w:val="32"/>
        </w:rPr>
      </w:pPr>
      <w:r>
        <w:rPr>
          <w:rFonts w:asciiTheme="majorHAnsi" w:hAnsiTheme="majorHAnsi"/>
          <w:b/>
          <w:sz w:val="32"/>
          <w:szCs w:val="32"/>
        </w:rPr>
        <w:t>Principal Evaluation Professional Learning Community</w:t>
      </w:r>
    </w:p>
    <w:p w:rsidR="001D2E30" w:rsidRDefault="00250143" w:rsidP="001D2E30">
      <w:pPr>
        <w:jc w:val="center"/>
        <w:rPr>
          <w:rFonts w:asciiTheme="majorHAnsi" w:hAnsiTheme="majorHAnsi"/>
          <w:b/>
          <w:sz w:val="28"/>
          <w:szCs w:val="28"/>
        </w:rPr>
      </w:pPr>
      <w:r>
        <w:rPr>
          <w:rFonts w:asciiTheme="majorHAnsi" w:hAnsiTheme="majorHAnsi"/>
          <w:b/>
          <w:sz w:val="28"/>
          <w:szCs w:val="28"/>
        </w:rPr>
        <w:t>October 1</w:t>
      </w:r>
      <w:r w:rsidR="005F2160">
        <w:rPr>
          <w:rFonts w:asciiTheme="majorHAnsi" w:hAnsiTheme="majorHAnsi"/>
          <w:b/>
          <w:sz w:val="28"/>
          <w:szCs w:val="28"/>
        </w:rPr>
        <w:t>, 2013</w:t>
      </w:r>
    </w:p>
    <w:p w:rsidR="00772124" w:rsidRPr="008E4B76" w:rsidRDefault="00772124" w:rsidP="001D2E30">
      <w:pPr>
        <w:jc w:val="center"/>
        <w:rPr>
          <w:rFonts w:asciiTheme="majorHAnsi" w:hAnsiTheme="majorHAnsi"/>
          <w:b/>
          <w:sz w:val="28"/>
          <w:szCs w:val="28"/>
        </w:rPr>
      </w:pPr>
      <w:r>
        <w:rPr>
          <w:rFonts w:asciiTheme="majorHAnsi" w:hAnsiTheme="majorHAnsi"/>
          <w:b/>
          <w:sz w:val="28"/>
          <w:szCs w:val="28"/>
        </w:rPr>
        <w:t>Session #</w:t>
      </w:r>
      <w:r w:rsidR="00250143">
        <w:rPr>
          <w:rFonts w:asciiTheme="majorHAnsi" w:hAnsiTheme="majorHAnsi"/>
          <w:b/>
          <w:sz w:val="28"/>
          <w:szCs w:val="28"/>
        </w:rPr>
        <w:t>3</w:t>
      </w:r>
    </w:p>
    <w:p w:rsidR="001D2E30" w:rsidRDefault="001D2E30" w:rsidP="001D2E30">
      <w:pPr>
        <w:rPr>
          <w:rFonts w:ascii="Palatino Linotype" w:hAnsi="Palatino Linotype"/>
          <w:b/>
          <w:sz w:val="26"/>
        </w:rPr>
      </w:pPr>
    </w:p>
    <w:p w:rsidR="001D2E30" w:rsidRDefault="001D2E30" w:rsidP="001D2E30">
      <w:pPr>
        <w:rPr>
          <w:rFonts w:asciiTheme="majorHAnsi" w:hAnsiTheme="majorHAnsi"/>
          <w:b/>
        </w:rPr>
      </w:pPr>
      <w:r w:rsidRPr="008E4B76">
        <w:rPr>
          <w:rFonts w:asciiTheme="majorHAnsi" w:hAnsiTheme="majorHAnsi"/>
          <w:b/>
        </w:rPr>
        <w:t>Essential Questions for the year:</w:t>
      </w:r>
    </w:p>
    <w:p w:rsidR="00772124" w:rsidRPr="00772124" w:rsidRDefault="00772124" w:rsidP="00772124">
      <w:pPr>
        <w:numPr>
          <w:ilvl w:val="0"/>
          <w:numId w:val="2"/>
        </w:numPr>
        <w:spacing w:before="60"/>
        <w:rPr>
          <w:rFonts w:asciiTheme="majorHAnsi" w:eastAsia="MS Mincho" w:hAnsiTheme="majorHAnsi" w:cs="Arial"/>
        </w:rPr>
      </w:pPr>
      <w:r w:rsidRPr="00772124">
        <w:rPr>
          <w:rFonts w:asciiTheme="majorHAnsi" w:eastAsia="MS Mincho" w:hAnsiTheme="majorHAnsi" w:cs="Arial"/>
        </w:rPr>
        <w:t>How do we deepen our knowledge of the purpose and substance of Washington State’s revised evaluation criteria for principals in order to guide decisions which have the promise to improve student learning?</w:t>
      </w:r>
    </w:p>
    <w:p w:rsidR="00772124" w:rsidRPr="00772124" w:rsidRDefault="00772124" w:rsidP="00772124">
      <w:pPr>
        <w:numPr>
          <w:ilvl w:val="0"/>
          <w:numId w:val="2"/>
        </w:numPr>
        <w:spacing w:before="60"/>
        <w:rPr>
          <w:rFonts w:asciiTheme="majorHAnsi" w:eastAsia="MS Mincho" w:hAnsiTheme="majorHAnsi" w:cs="Arial"/>
        </w:rPr>
      </w:pPr>
      <w:r w:rsidRPr="00772124">
        <w:rPr>
          <w:rFonts w:asciiTheme="majorHAnsi" w:eastAsia="MS Mincho" w:hAnsiTheme="majorHAnsi" w:cs="Arial"/>
        </w:rPr>
        <w:t>How do we use the AWSP framework model to provide us with a way to operationalize (via language, evidence, and artifacts) the revised four-tiered evaluation system to improve teaching and learning?</w:t>
      </w:r>
    </w:p>
    <w:p w:rsidR="00772124" w:rsidRPr="00772124" w:rsidRDefault="00772124" w:rsidP="00772124">
      <w:pPr>
        <w:numPr>
          <w:ilvl w:val="0"/>
          <w:numId w:val="2"/>
        </w:numPr>
        <w:spacing w:before="60"/>
        <w:rPr>
          <w:rFonts w:asciiTheme="majorHAnsi" w:eastAsia="MS Mincho" w:hAnsiTheme="majorHAnsi" w:cs="Arial"/>
        </w:rPr>
      </w:pPr>
      <w:r w:rsidRPr="00772124">
        <w:rPr>
          <w:rFonts w:asciiTheme="majorHAnsi" w:eastAsia="MS Mincho" w:hAnsiTheme="majorHAnsi" w:cs="Arial"/>
        </w:rPr>
        <w:t>How do we create and use a professional development plan to build principal readiness for a new district evaluation model?</w:t>
      </w:r>
    </w:p>
    <w:p w:rsidR="00772124" w:rsidRPr="00772124" w:rsidRDefault="00772124" w:rsidP="00772124">
      <w:pPr>
        <w:numPr>
          <w:ilvl w:val="0"/>
          <w:numId w:val="2"/>
        </w:numPr>
        <w:spacing w:before="60"/>
        <w:rPr>
          <w:rFonts w:asciiTheme="majorHAnsi" w:eastAsia="MS Mincho" w:hAnsiTheme="majorHAnsi" w:cs="Arial"/>
        </w:rPr>
      </w:pPr>
      <w:r w:rsidRPr="00772124">
        <w:rPr>
          <w:rFonts w:asciiTheme="majorHAnsi" w:eastAsia="MS Mincho" w:hAnsiTheme="majorHAnsi" w:cs="Arial"/>
        </w:rPr>
        <w:t xml:space="preserve">How do we establish and implement systems and structures that continue to improve collaboration and communication about this project within our district(s)? </w:t>
      </w:r>
    </w:p>
    <w:p w:rsidR="00372D6B" w:rsidRPr="00A530D9" w:rsidRDefault="00372D6B" w:rsidP="00372D6B">
      <w:pPr>
        <w:spacing w:before="60"/>
        <w:rPr>
          <w:rFonts w:asciiTheme="majorHAnsi" w:eastAsia="MS Mincho" w:hAnsiTheme="majorHAnsi" w:cs="Arial"/>
        </w:rPr>
      </w:pPr>
    </w:p>
    <w:p w:rsidR="001D2E30" w:rsidRDefault="001D2E30" w:rsidP="001D2E30">
      <w:pPr>
        <w:spacing w:before="60"/>
        <w:rPr>
          <w:rFonts w:asciiTheme="majorHAnsi" w:hAnsiTheme="majorHAnsi" w:cs="Arial"/>
          <w:b/>
        </w:rPr>
      </w:pPr>
      <w:r w:rsidRPr="008E4B76">
        <w:rPr>
          <w:rFonts w:asciiTheme="majorHAnsi" w:hAnsiTheme="majorHAnsi" w:cs="Arial"/>
          <w:b/>
        </w:rPr>
        <w:t xml:space="preserve">Learning Targets Session </w:t>
      </w:r>
      <w:r w:rsidR="00866724">
        <w:rPr>
          <w:rFonts w:asciiTheme="majorHAnsi" w:hAnsiTheme="majorHAnsi" w:cs="Arial"/>
          <w:b/>
        </w:rPr>
        <w:t>3</w:t>
      </w:r>
    </w:p>
    <w:p w:rsidR="001D2E30" w:rsidRPr="008E4B76" w:rsidRDefault="001D2E30" w:rsidP="001D2E30">
      <w:pPr>
        <w:spacing w:before="60"/>
        <w:rPr>
          <w:rFonts w:asciiTheme="majorHAnsi" w:hAnsiTheme="majorHAnsi" w:cs="Arial"/>
          <w:b/>
        </w:rPr>
      </w:pPr>
      <w:r w:rsidRPr="008E4B76">
        <w:rPr>
          <w:rFonts w:asciiTheme="majorHAnsi" w:hAnsiTheme="majorHAnsi" w:cs="Arial"/>
          <w:b/>
        </w:rPr>
        <w:t xml:space="preserve">      Participants will:</w:t>
      </w:r>
    </w:p>
    <w:p w:rsidR="00866724" w:rsidRPr="00866724" w:rsidRDefault="00866724" w:rsidP="00866724">
      <w:pPr>
        <w:widowControl w:val="0"/>
        <w:numPr>
          <w:ilvl w:val="0"/>
          <w:numId w:val="1"/>
        </w:numPr>
        <w:autoSpaceDE w:val="0"/>
        <w:autoSpaceDN w:val="0"/>
        <w:adjustRightInd w:val="0"/>
        <w:rPr>
          <w:rFonts w:asciiTheme="majorHAnsi" w:eastAsia="MS Mincho" w:hAnsiTheme="majorHAnsi" w:cs="Arial"/>
        </w:rPr>
      </w:pPr>
      <w:r w:rsidRPr="00866724">
        <w:rPr>
          <w:rFonts w:asciiTheme="majorHAnsi" w:eastAsia="MS Mincho" w:hAnsiTheme="majorHAnsi" w:cs="Arial"/>
        </w:rPr>
        <w:t>Deepen their understanding of the leadership criteria and the AWSP frameworks.</w:t>
      </w:r>
    </w:p>
    <w:p w:rsidR="00866724" w:rsidRPr="00866724" w:rsidRDefault="00866724" w:rsidP="00866724">
      <w:pPr>
        <w:widowControl w:val="0"/>
        <w:numPr>
          <w:ilvl w:val="0"/>
          <w:numId w:val="1"/>
        </w:numPr>
        <w:autoSpaceDE w:val="0"/>
        <w:autoSpaceDN w:val="0"/>
        <w:adjustRightInd w:val="0"/>
        <w:rPr>
          <w:rFonts w:asciiTheme="majorHAnsi" w:eastAsia="MS Mincho" w:hAnsiTheme="majorHAnsi" w:cs="Arial"/>
        </w:rPr>
      </w:pPr>
      <w:r w:rsidRPr="00866724">
        <w:rPr>
          <w:rFonts w:asciiTheme="majorHAnsi" w:eastAsia="MS Mincho" w:hAnsiTheme="majorHAnsi" w:cs="Arial"/>
        </w:rPr>
        <w:t>Deepen their understanding of how student growth measures will be used in Criterion 3, 5 and 8</w:t>
      </w:r>
    </w:p>
    <w:p w:rsidR="00866724" w:rsidRPr="00866724" w:rsidRDefault="00866724" w:rsidP="00866724">
      <w:pPr>
        <w:widowControl w:val="0"/>
        <w:numPr>
          <w:ilvl w:val="0"/>
          <w:numId w:val="1"/>
        </w:numPr>
        <w:autoSpaceDE w:val="0"/>
        <w:autoSpaceDN w:val="0"/>
        <w:adjustRightInd w:val="0"/>
        <w:rPr>
          <w:rFonts w:asciiTheme="majorHAnsi" w:eastAsia="MS Mincho" w:hAnsiTheme="majorHAnsi" w:cs="Arial"/>
        </w:rPr>
      </w:pPr>
      <w:r w:rsidRPr="00866724">
        <w:rPr>
          <w:rFonts w:asciiTheme="majorHAnsi" w:eastAsia="MS Mincho" w:hAnsiTheme="majorHAnsi" w:cs="Arial"/>
        </w:rPr>
        <w:t>Consider multiple measures to use in assessing leader performance considering the context of their Districts.</w:t>
      </w:r>
    </w:p>
    <w:p w:rsidR="00866724" w:rsidRPr="00866724" w:rsidRDefault="00866724" w:rsidP="00866724">
      <w:pPr>
        <w:widowControl w:val="0"/>
        <w:numPr>
          <w:ilvl w:val="0"/>
          <w:numId w:val="1"/>
        </w:numPr>
        <w:autoSpaceDE w:val="0"/>
        <w:autoSpaceDN w:val="0"/>
        <w:adjustRightInd w:val="0"/>
        <w:rPr>
          <w:rFonts w:asciiTheme="majorHAnsi" w:eastAsia="MS Mincho" w:hAnsiTheme="majorHAnsi" w:cs="Arial"/>
        </w:rPr>
      </w:pPr>
      <w:r w:rsidRPr="00866724">
        <w:rPr>
          <w:rFonts w:asciiTheme="majorHAnsi" w:eastAsia="MS Mincho" w:hAnsiTheme="majorHAnsi" w:cs="Arial"/>
        </w:rPr>
        <w:t>Understand the process in principal evaluation and principal development</w:t>
      </w:r>
    </w:p>
    <w:p w:rsidR="00E538C1" w:rsidRDefault="00E538C1" w:rsidP="001D2E30">
      <w:pPr>
        <w:widowControl w:val="0"/>
        <w:autoSpaceDE w:val="0"/>
        <w:autoSpaceDN w:val="0"/>
        <w:adjustRightInd w:val="0"/>
        <w:ind w:left="360"/>
        <w:rPr>
          <w:rFonts w:ascii="Palatino Linotype" w:hAnsi="Palatino Linotype" w:cs="Calibri"/>
        </w:rPr>
      </w:pPr>
    </w:p>
    <w:p w:rsidR="00372D6B" w:rsidRPr="008E4B76" w:rsidRDefault="001D2E30" w:rsidP="001D2E30">
      <w:pPr>
        <w:widowControl w:val="0"/>
        <w:autoSpaceDE w:val="0"/>
        <w:autoSpaceDN w:val="0"/>
        <w:adjustRightInd w:val="0"/>
        <w:rPr>
          <w:rFonts w:asciiTheme="majorHAnsi" w:hAnsiTheme="majorHAnsi" w:cs="Times New Roman"/>
          <w:b/>
        </w:rPr>
      </w:pPr>
      <w:r w:rsidRPr="008E4B76">
        <w:rPr>
          <w:rFonts w:asciiTheme="majorHAnsi" w:hAnsiTheme="majorHAnsi" w:cs="Times New Roman"/>
          <w:b/>
        </w:rPr>
        <w:t>Success Criteria</w:t>
      </w:r>
    </w:p>
    <w:p w:rsidR="001D2E30" w:rsidRPr="008E4B76" w:rsidRDefault="001D2E30" w:rsidP="00E70555">
      <w:pPr>
        <w:widowControl w:val="0"/>
        <w:autoSpaceDE w:val="0"/>
        <w:autoSpaceDN w:val="0"/>
        <w:adjustRightInd w:val="0"/>
        <w:ind w:firstLine="360"/>
        <w:rPr>
          <w:rFonts w:asciiTheme="majorHAnsi" w:hAnsiTheme="majorHAnsi" w:cs="Times New Roman"/>
          <w:b/>
        </w:rPr>
      </w:pPr>
      <w:r w:rsidRPr="008E4B76">
        <w:rPr>
          <w:rFonts w:asciiTheme="majorHAnsi" w:hAnsiTheme="majorHAnsi" w:cs="Times New Roman"/>
          <w:b/>
        </w:rPr>
        <w:t xml:space="preserve">Participants will: </w:t>
      </w:r>
    </w:p>
    <w:p w:rsidR="00866724" w:rsidRPr="00866724" w:rsidRDefault="00866724" w:rsidP="00866724">
      <w:pPr>
        <w:widowControl w:val="0"/>
        <w:numPr>
          <w:ilvl w:val="0"/>
          <w:numId w:val="1"/>
        </w:numPr>
        <w:autoSpaceDE w:val="0"/>
        <w:autoSpaceDN w:val="0"/>
        <w:adjustRightInd w:val="0"/>
        <w:rPr>
          <w:rFonts w:asciiTheme="majorHAnsi" w:eastAsia="MS Mincho" w:hAnsiTheme="majorHAnsi" w:cs="Arial"/>
        </w:rPr>
      </w:pPr>
      <w:r w:rsidRPr="00866724">
        <w:rPr>
          <w:rFonts w:asciiTheme="majorHAnsi" w:eastAsia="MS Mincho" w:hAnsiTheme="majorHAnsi" w:cs="Arial"/>
        </w:rPr>
        <w:t>Have enough understanding of the Principal Evaluation process to have a plan of action prepared to implement when they return to their districts.</w:t>
      </w:r>
    </w:p>
    <w:p w:rsidR="00866724" w:rsidRPr="00866724" w:rsidRDefault="00866724" w:rsidP="00866724">
      <w:pPr>
        <w:widowControl w:val="0"/>
        <w:numPr>
          <w:ilvl w:val="0"/>
          <w:numId w:val="1"/>
        </w:numPr>
        <w:autoSpaceDE w:val="0"/>
        <w:autoSpaceDN w:val="0"/>
        <w:adjustRightInd w:val="0"/>
        <w:rPr>
          <w:rFonts w:asciiTheme="majorHAnsi" w:eastAsia="MS Mincho" w:hAnsiTheme="majorHAnsi" w:cs="Arial"/>
        </w:rPr>
      </w:pPr>
      <w:r w:rsidRPr="00866724">
        <w:rPr>
          <w:rFonts w:asciiTheme="majorHAnsi" w:eastAsia="MS Mincho" w:hAnsiTheme="majorHAnsi" w:cs="Arial"/>
        </w:rPr>
        <w:t xml:space="preserve">Have enough understanding of the Principal Evaluation 8 criteria to create a plan for system coherence in their districts. </w:t>
      </w:r>
    </w:p>
    <w:p w:rsidR="00866724" w:rsidRPr="00866724" w:rsidRDefault="00866724" w:rsidP="00866724">
      <w:pPr>
        <w:widowControl w:val="0"/>
        <w:numPr>
          <w:ilvl w:val="0"/>
          <w:numId w:val="1"/>
        </w:numPr>
        <w:autoSpaceDE w:val="0"/>
        <w:autoSpaceDN w:val="0"/>
        <w:adjustRightInd w:val="0"/>
        <w:rPr>
          <w:rFonts w:asciiTheme="majorHAnsi" w:eastAsia="MS Mincho" w:hAnsiTheme="majorHAnsi" w:cs="Arial"/>
        </w:rPr>
      </w:pPr>
      <w:r w:rsidRPr="00866724">
        <w:rPr>
          <w:rFonts w:asciiTheme="majorHAnsi" w:eastAsia="MS Mincho" w:hAnsiTheme="majorHAnsi" w:cs="Arial"/>
        </w:rPr>
        <w:t xml:space="preserve">Have enough understanding of the Principal Evaluation student growth criteria to create a plan for system coherence in their districts.  </w:t>
      </w:r>
    </w:p>
    <w:p w:rsidR="00E94045" w:rsidRDefault="00E94045" w:rsidP="00E70555">
      <w:pPr>
        <w:widowControl w:val="0"/>
        <w:autoSpaceDE w:val="0"/>
        <w:autoSpaceDN w:val="0"/>
        <w:adjustRightInd w:val="0"/>
        <w:ind w:left="360" w:firstLine="90"/>
        <w:rPr>
          <w:rFonts w:ascii="Palatino Linotype" w:hAnsi="Palatino Linotype" w:cs="Calibri"/>
        </w:rPr>
      </w:pPr>
    </w:p>
    <w:p w:rsidR="00E70555" w:rsidRDefault="00E70555" w:rsidP="00E70555">
      <w:pPr>
        <w:widowControl w:val="0"/>
        <w:autoSpaceDE w:val="0"/>
        <w:autoSpaceDN w:val="0"/>
        <w:adjustRightInd w:val="0"/>
        <w:ind w:left="360" w:firstLine="90"/>
        <w:rPr>
          <w:rFonts w:ascii="Palatino Linotype" w:hAnsi="Palatino Linotype" w:cs="Calibri"/>
        </w:rPr>
      </w:pPr>
    </w:p>
    <w:p w:rsidR="00E70555" w:rsidRDefault="00E70555" w:rsidP="001D2E30">
      <w:pPr>
        <w:widowControl w:val="0"/>
        <w:autoSpaceDE w:val="0"/>
        <w:autoSpaceDN w:val="0"/>
        <w:adjustRightInd w:val="0"/>
        <w:ind w:left="360"/>
        <w:rPr>
          <w:rFonts w:ascii="Palatino Linotype" w:hAnsi="Palatino Linotype" w:cs="Calibri"/>
        </w:rPr>
      </w:pPr>
    </w:p>
    <w:p w:rsidR="00E70555" w:rsidRDefault="00E70555" w:rsidP="001D2E30">
      <w:pPr>
        <w:widowControl w:val="0"/>
        <w:autoSpaceDE w:val="0"/>
        <w:autoSpaceDN w:val="0"/>
        <w:adjustRightInd w:val="0"/>
        <w:ind w:left="360"/>
        <w:rPr>
          <w:rFonts w:ascii="Palatino Linotype" w:hAnsi="Palatino Linotype" w:cs="Calibri"/>
        </w:rPr>
      </w:pPr>
    </w:p>
    <w:p w:rsidR="00E70555" w:rsidRDefault="00E70555" w:rsidP="001D2E30">
      <w:pPr>
        <w:widowControl w:val="0"/>
        <w:autoSpaceDE w:val="0"/>
        <w:autoSpaceDN w:val="0"/>
        <w:adjustRightInd w:val="0"/>
        <w:ind w:left="360"/>
        <w:rPr>
          <w:rFonts w:ascii="Palatino Linotype" w:hAnsi="Palatino Linotype" w:cs="Calibri"/>
        </w:rPr>
      </w:pPr>
    </w:p>
    <w:p w:rsidR="00E70555" w:rsidRDefault="00E70555" w:rsidP="001D2E30">
      <w:pPr>
        <w:widowControl w:val="0"/>
        <w:autoSpaceDE w:val="0"/>
        <w:autoSpaceDN w:val="0"/>
        <w:adjustRightInd w:val="0"/>
        <w:ind w:left="360"/>
        <w:rPr>
          <w:rFonts w:ascii="Palatino Linotype" w:hAnsi="Palatino Linotype" w:cs="Calibri"/>
        </w:rPr>
      </w:pPr>
    </w:p>
    <w:p w:rsidR="00E70555" w:rsidRDefault="00E70555" w:rsidP="001D2E30">
      <w:pPr>
        <w:widowControl w:val="0"/>
        <w:autoSpaceDE w:val="0"/>
        <w:autoSpaceDN w:val="0"/>
        <w:adjustRightInd w:val="0"/>
        <w:ind w:left="360"/>
        <w:rPr>
          <w:rFonts w:ascii="Palatino Linotype" w:hAnsi="Palatino Linotype" w:cs="Calibri"/>
        </w:rPr>
      </w:pPr>
    </w:p>
    <w:p w:rsidR="00E70555" w:rsidRDefault="00E70555" w:rsidP="001D2E30">
      <w:pPr>
        <w:widowControl w:val="0"/>
        <w:autoSpaceDE w:val="0"/>
        <w:autoSpaceDN w:val="0"/>
        <w:adjustRightInd w:val="0"/>
        <w:ind w:left="360"/>
        <w:rPr>
          <w:rFonts w:ascii="Palatino Linotype" w:hAnsi="Palatino Linotype" w:cs="Calibri"/>
        </w:rPr>
      </w:pPr>
    </w:p>
    <w:p w:rsidR="00E70555" w:rsidRDefault="00E70555" w:rsidP="001D2E30">
      <w:pPr>
        <w:widowControl w:val="0"/>
        <w:autoSpaceDE w:val="0"/>
        <w:autoSpaceDN w:val="0"/>
        <w:adjustRightInd w:val="0"/>
        <w:ind w:left="360"/>
        <w:rPr>
          <w:rFonts w:ascii="Palatino Linotype" w:hAnsi="Palatino Linotype" w:cs="Calibri"/>
        </w:rPr>
      </w:pPr>
    </w:p>
    <w:tbl>
      <w:tblPr>
        <w:tblStyle w:val="TableGrid"/>
        <w:tblW w:w="9630" w:type="dxa"/>
        <w:tblInd w:w="18" w:type="dxa"/>
        <w:tblLayout w:type="fixed"/>
        <w:tblLook w:val="01E0" w:firstRow="1" w:lastRow="1" w:firstColumn="1" w:lastColumn="1" w:noHBand="0" w:noVBand="0"/>
      </w:tblPr>
      <w:tblGrid>
        <w:gridCol w:w="1710"/>
        <w:gridCol w:w="7920"/>
      </w:tblGrid>
      <w:tr w:rsidR="00372D6B" w:rsidRPr="008E4B76" w:rsidTr="004B6730">
        <w:trPr>
          <w:trHeight w:val="620"/>
        </w:trPr>
        <w:tc>
          <w:tcPr>
            <w:tcW w:w="9630" w:type="dxa"/>
            <w:gridSpan w:val="2"/>
            <w:shd w:val="clear" w:color="auto" w:fill="D9D9D9"/>
            <w:vAlign w:val="center"/>
          </w:tcPr>
          <w:p w:rsidR="00372D6B" w:rsidRPr="00372D6B" w:rsidRDefault="00372D6B" w:rsidP="00372D6B">
            <w:pPr>
              <w:jc w:val="center"/>
              <w:rPr>
                <w:rFonts w:asciiTheme="majorHAnsi" w:hAnsiTheme="majorHAnsi"/>
                <w:b/>
                <w:sz w:val="32"/>
                <w:szCs w:val="32"/>
              </w:rPr>
            </w:pPr>
            <w:r w:rsidRPr="008E4B76">
              <w:rPr>
                <w:sz w:val="28"/>
                <w:szCs w:val="28"/>
              </w:rPr>
              <w:br w:type="page"/>
            </w:r>
            <w:r w:rsidRPr="00372D6B">
              <w:rPr>
                <w:rFonts w:asciiTheme="majorHAnsi" w:hAnsiTheme="majorHAnsi"/>
                <w:b/>
                <w:sz w:val="32"/>
                <w:szCs w:val="32"/>
              </w:rPr>
              <w:t>AGENDA</w:t>
            </w:r>
          </w:p>
        </w:tc>
      </w:tr>
      <w:tr w:rsidR="00772124" w:rsidRPr="00A947A7" w:rsidTr="00772124">
        <w:trPr>
          <w:trHeight w:val="1583"/>
        </w:trPr>
        <w:tc>
          <w:tcPr>
            <w:tcW w:w="9630" w:type="dxa"/>
            <w:gridSpan w:val="2"/>
            <w:tcBorders>
              <w:bottom w:val="single" w:sz="4" w:space="0" w:color="auto"/>
            </w:tcBorders>
            <w:vAlign w:val="center"/>
          </w:tcPr>
          <w:p w:rsidR="00772124" w:rsidRPr="00772124" w:rsidRDefault="00772124" w:rsidP="00772124">
            <w:pPr>
              <w:tabs>
                <w:tab w:val="left" w:pos="1962"/>
              </w:tabs>
              <w:spacing w:before="120"/>
              <w:ind w:left="1958" w:hanging="1958"/>
              <w:rPr>
                <w:rFonts w:asciiTheme="majorHAnsi" w:hAnsiTheme="majorHAnsi" w:cs="Arial"/>
                <w:sz w:val="22"/>
                <w:szCs w:val="22"/>
                <w14:shadow w14:blurRad="50800" w14:dist="38100" w14:dir="0" w14:sx="100000" w14:sy="100000" w14:kx="0" w14:ky="0" w14:algn="l">
                  <w14:srgbClr w14:val="000000">
                    <w14:alpha w14:val="60000"/>
                  </w14:srgbClr>
                </w14:shadow>
              </w:rPr>
            </w:pPr>
            <w:r w:rsidRPr="00772124">
              <w:rPr>
                <w:rFonts w:asciiTheme="majorHAnsi" w:hAnsiTheme="majorHAnsi" w:cs="Arial"/>
                <w:b/>
                <w:sz w:val="22"/>
                <w:szCs w:val="22"/>
              </w:rPr>
              <w:t xml:space="preserve">Theory of Action: </w:t>
            </w:r>
            <w:r w:rsidRPr="00772124">
              <w:rPr>
                <w:rFonts w:asciiTheme="majorHAnsi" w:hAnsiTheme="majorHAnsi" w:cs="Arial"/>
                <w:b/>
                <w:sz w:val="22"/>
                <w:szCs w:val="22"/>
              </w:rPr>
              <w:tab/>
            </w:r>
            <w:r w:rsidRPr="00772124">
              <w:rPr>
                <w:rFonts w:asciiTheme="majorHAnsi" w:hAnsiTheme="majorHAnsi" w:cs="Arial"/>
                <w:sz w:val="22"/>
                <w:szCs w:val="22"/>
                <w14:shadow w14:blurRad="50800" w14:dist="38100" w14:dir="0" w14:sx="100000" w14:sy="100000" w14:kx="0" w14:ky="0" w14:algn="l">
                  <w14:srgbClr w14:val="000000">
                    <w14:alpha w14:val="60000"/>
                  </w14:srgbClr>
                </w14:shadow>
              </w:rPr>
              <w:t>If we operationally define and apply common criteria for teacher and principal performance within an instructional framework, then there will be an increased systemic coherence which will result in higher levels of performance and learning from principals, teachers, and students.</w:t>
            </w:r>
          </w:p>
          <w:p w:rsidR="00772124" w:rsidRPr="00772124" w:rsidRDefault="00772124" w:rsidP="00772124">
            <w:pPr>
              <w:rPr>
                <w:rFonts w:ascii="Cambria" w:hAnsi="Cambria"/>
              </w:rPr>
            </w:pPr>
          </w:p>
        </w:tc>
      </w:tr>
      <w:tr w:rsidR="00372D6B" w:rsidRPr="00A947A7" w:rsidTr="00866724">
        <w:trPr>
          <w:trHeight w:val="1052"/>
        </w:trPr>
        <w:tc>
          <w:tcPr>
            <w:tcW w:w="1710" w:type="dxa"/>
            <w:tcBorders>
              <w:bottom w:val="single" w:sz="4" w:space="0" w:color="auto"/>
            </w:tcBorders>
            <w:vAlign w:val="center"/>
          </w:tcPr>
          <w:p w:rsidR="00372D6B" w:rsidRPr="00A947A7" w:rsidRDefault="00866724" w:rsidP="00866724">
            <w:pPr>
              <w:rPr>
                <w:rFonts w:asciiTheme="majorHAnsi" w:hAnsiTheme="majorHAnsi"/>
              </w:rPr>
            </w:pPr>
            <w:r>
              <w:rPr>
                <w:rFonts w:asciiTheme="majorHAnsi" w:hAnsiTheme="majorHAnsi"/>
              </w:rPr>
              <w:t>12</w:t>
            </w:r>
            <w:r w:rsidR="00372D6B" w:rsidRPr="00A947A7">
              <w:rPr>
                <w:rFonts w:asciiTheme="majorHAnsi" w:hAnsiTheme="majorHAnsi"/>
              </w:rPr>
              <w:t>:</w:t>
            </w:r>
            <w:r w:rsidR="00772124">
              <w:rPr>
                <w:rFonts w:asciiTheme="majorHAnsi" w:hAnsiTheme="majorHAnsi"/>
              </w:rPr>
              <w:t>0</w:t>
            </w:r>
            <w:r w:rsidR="00B217C9">
              <w:rPr>
                <w:rFonts w:asciiTheme="majorHAnsi" w:hAnsiTheme="majorHAnsi"/>
              </w:rPr>
              <w:t>0</w:t>
            </w:r>
            <w:r w:rsidR="00E62F77">
              <w:rPr>
                <w:rFonts w:asciiTheme="majorHAnsi" w:hAnsiTheme="majorHAnsi"/>
              </w:rPr>
              <w:t xml:space="preserve"> – </w:t>
            </w:r>
            <w:r>
              <w:rPr>
                <w:rFonts w:asciiTheme="majorHAnsi" w:hAnsiTheme="majorHAnsi"/>
              </w:rPr>
              <w:t>12</w:t>
            </w:r>
            <w:r w:rsidR="00772124">
              <w:rPr>
                <w:rFonts w:asciiTheme="majorHAnsi" w:hAnsiTheme="majorHAnsi"/>
              </w:rPr>
              <w:t>:</w:t>
            </w:r>
            <w:r w:rsidR="00A50BB4">
              <w:rPr>
                <w:rFonts w:asciiTheme="majorHAnsi" w:hAnsiTheme="majorHAnsi"/>
              </w:rPr>
              <w:t>3</w:t>
            </w:r>
            <w:r w:rsidR="00772124">
              <w:rPr>
                <w:rFonts w:asciiTheme="majorHAnsi" w:hAnsiTheme="majorHAnsi"/>
              </w:rPr>
              <w:t>0</w:t>
            </w:r>
          </w:p>
        </w:tc>
        <w:tc>
          <w:tcPr>
            <w:tcW w:w="7920" w:type="dxa"/>
            <w:tcBorders>
              <w:bottom w:val="single" w:sz="4" w:space="0" w:color="auto"/>
            </w:tcBorders>
            <w:vAlign w:val="center"/>
          </w:tcPr>
          <w:p w:rsidR="00633DD7" w:rsidRDefault="00772124" w:rsidP="00E70555">
            <w:pPr>
              <w:rPr>
                <w:rFonts w:asciiTheme="majorHAnsi" w:hAnsiTheme="majorHAnsi"/>
                <w:b/>
              </w:rPr>
            </w:pPr>
            <w:r>
              <w:rPr>
                <w:rFonts w:asciiTheme="majorHAnsi" w:hAnsiTheme="majorHAnsi"/>
                <w:b/>
              </w:rPr>
              <w:t>Welcome</w:t>
            </w:r>
          </w:p>
          <w:p w:rsidR="00772124" w:rsidRDefault="00772124" w:rsidP="00E70555">
            <w:pPr>
              <w:rPr>
                <w:rFonts w:asciiTheme="majorHAnsi" w:hAnsiTheme="majorHAnsi"/>
                <w:b/>
              </w:rPr>
            </w:pPr>
            <w:r>
              <w:rPr>
                <w:rFonts w:asciiTheme="majorHAnsi" w:hAnsiTheme="majorHAnsi"/>
                <w:b/>
              </w:rPr>
              <w:t>What’s the Work of the Day?</w:t>
            </w:r>
          </w:p>
          <w:p w:rsidR="00866724" w:rsidRPr="00633DD7" w:rsidRDefault="00866724" w:rsidP="00E70555">
            <w:pPr>
              <w:rPr>
                <w:rFonts w:asciiTheme="majorHAnsi" w:hAnsiTheme="majorHAnsi"/>
              </w:rPr>
            </w:pPr>
            <w:r>
              <w:rPr>
                <w:rFonts w:asciiTheme="majorHAnsi" w:hAnsiTheme="majorHAnsi"/>
                <w:b/>
              </w:rPr>
              <w:t xml:space="preserve">What have you done so far – one celebration and one challenge? </w:t>
            </w:r>
          </w:p>
        </w:tc>
      </w:tr>
      <w:tr w:rsidR="00372D6B" w:rsidRPr="00A947A7" w:rsidTr="000F2721">
        <w:trPr>
          <w:trHeight w:val="1034"/>
        </w:trPr>
        <w:tc>
          <w:tcPr>
            <w:tcW w:w="1710" w:type="dxa"/>
            <w:vAlign w:val="center"/>
          </w:tcPr>
          <w:p w:rsidR="00372D6B" w:rsidRPr="00A947A7" w:rsidRDefault="0023481F" w:rsidP="00A86A26">
            <w:pPr>
              <w:rPr>
                <w:rFonts w:asciiTheme="majorHAnsi" w:hAnsiTheme="majorHAnsi"/>
              </w:rPr>
            </w:pPr>
            <w:r>
              <w:rPr>
                <w:rFonts w:asciiTheme="majorHAnsi" w:hAnsiTheme="majorHAnsi"/>
              </w:rPr>
              <w:t>1</w:t>
            </w:r>
            <w:r w:rsidR="00866724">
              <w:rPr>
                <w:rFonts w:asciiTheme="majorHAnsi" w:hAnsiTheme="majorHAnsi"/>
              </w:rPr>
              <w:t>2</w:t>
            </w:r>
            <w:r>
              <w:rPr>
                <w:rFonts w:asciiTheme="majorHAnsi" w:hAnsiTheme="majorHAnsi"/>
              </w:rPr>
              <w:t>:</w:t>
            </w:r>
            <w:r w:rsidR="00866724">
              <w:rPr>
                <w:rFonts w:asciiTheme="majorHAnsi" w:hAnsiTheme="majorHAnsi"/>
              </w:rPr>
              <w:t>30</w:t>
            </w:r>
            <w:r>
              <w:rPr>
                <w:rFonts w:asciiTheme="majorHAnsi" w:hAnsiTheme="majorHAnsi"/>
              </w:rPr>
              <w:t xml:space="preserve"> – </w:t>
            </w:r>
            <w:r w:rsidR="00A86A26">
              <w:rPr>
                <w:rFonts w:asciiTheme="majorHAnsi" w:hAnsiTheme="majorHAnsi"/>
              </w:rPr>
              <w:t>1:00</w:t>
            </w:r>
          </w:p>
        </w:tc>
        <w:tc>
          <w:tcPr>
            <w:tcW w:w="7920" w:type="dxa"/>
            <w:vAlign w:val="center"/>
          </w:tcPr>
          <w:p w:rsidR="00017697" w:rsidRDefault="00866724" w:rsidP="00B217C9">
            <w:pPr>
              <w:rPr>
                <w:rFonts w:asciiTheme="majorHAnsi" w:hAnsiTheme="majorHAnsi"/>
                <w:b/>
              </w:rPr>
            </w:pPr>
            <w:r>
              <w:rPr>
                <w:rFonts w:asciiTheme="majorHAnsi" w:hAnsiTheme="majorHAnsi"/>
                <w:b/>
              </w:rPr>
              <w:t>Student Growth Measures</w:t>
            </w:r>
          </w:p>
          <w:p w:rsidR="00866724" w:rsidRPr="00866724" w:rsidRDefault="00866724" w:rsidP="00866724">
            <w:pPr>
              <w:ind w:left="792"/>
              <w:rPr>
                <w:rFonts w:asciiTheme="majorHAnsi" w:hAnsiTheme="majorHAnsi"/>
              </w:rPr>
            </w:pPr>
            <w:r>
              <w:rPr>
                <w:rFonts w:asciiTheme="majorHAnsi" w:hAnsiTheme="majorHAnsi"/>
              </w:rPr>
              <w:t>Deepen understanding of student growth in the AWSP Leadership Framework</w:t>
            </w:r>
          </w:p>
        </w:tc>
      </w:tr>
      <w:tr w:rsidR="000F2721" w:rsidRPr="00A947A7" w:rsidTr="00772124">
        <w:trPr>
          <w:trHeight w:val="764"/>
        </w:trPr>
        <w:tc>
          <w:tcPr>
            <w:tcW w:w="1710" w:type="dxa"/>
            <w:tcBorders>
              <w:bottom w:val="single" w:sz="4" w:space="0" w:color="auto"/>
            </w:tcBorders>
            <w:vAlign w:val="center"/>
          </w:tcPr>
          <w:p w:rsidR="000F2721" w:rsidRDefault="00A86A26" w:rsidP="00A50BB4">
            <w:pPr>
              <w:rPr>
                <w:rFonts w:asciiTheme="majorHAnsi" w:hAnsiTheme="majorHAnsi"/>
              </w:rPr>
            </w:pPr>
            <w:r>
              <w:rPr>
                <w:rFonts w:asciiTheme="majorHAnsi" w:hAnsiTheme="majorHAnsi"/>
              </w:rPr>
              <w:t>1:00 – 1:15</w:t>
            </w:r>
          </w:p>
        </w:tc>
        <w:tc>
          <w:tcPr>
            <w:tcW w:w="7920" w:type="dxa"/>
            <w:tcBorders>
              <w:bottom w:val="single" w:sz="4" w:space="0" w:color="auto"/>
            </w:tcBorders>
            <w:vAlign w:val="center"/>
          </w:tcPr>
          <w:p w:rsidR="000F2721" w:rsidRPr="00772124" w:rsidRDefault="00A86A26" w:rsidP="00017985">
            <w:pPr>
              <w:rPr>
                <w:rFonts w:asciiTheme="majorHAnsi" w:hAnsiTheme="majorHAnsi"/>
              </w:rPr>
            </w:pPr>
            <w:r>
              <w:rPr>
                <w:rFonts w:asciiTheme="majorHAnsi" w:hAnsiTheme="majorHAnsi"/>
                <w:b/>
              </w:rPr>
              <w:t>Minimal, Measurable and Significant</w:t>
            </w:r>
          </w:p>
        </w:tc>
      </w:tr>
      <w:tr w:rsidR="00E62F77" w:rsidRPr="00A947A7" w:rsidTr="000F2721">
        <w:trPr>
          <w:trHeight w:val="827"/>
        </w:trPr>
        <w:tc>
          <w:tcPr>
            <w:tcW w:w="1710" w:type="dxa"/>
            <w:tcBorders>
              <w:bottom w:val="single" w:sz="4" w:space="0" w:color="auto"/>
            </w:tcBorders>
            <w:vAlign w:val="center"/>
          </w:tcPr>
          <w:p w:rsidR="00E62F77" w:rsidRDefault="00E62F77" w:rsidP="00A86A26">
            <w:pPr>
              <w:rPr>
                <w:rFonts w:asciiTheme="majorHAnsi" w:hAnsiTheme="majorHAnsi"/>
              </w:rPr>
            </w:pPr>
            <w:r>
              <w:rPr>
                <w:rFonts w:asciiTheme="majorHAnsi" w:hAnsiTheme="majorHAnsi"/>
              </w:rPr>
              <w:t>1:</w:t>
            </w:r>
            <w:r w:rsidR="00A86A26">
              <w:rPr>
                <w:rFonts w:asciiTheme="majorHAnsi" w:hAnsiTheme="majorHAnsi"/>
              </w:rPr>
              <w:t>15</w:t>
            </w:r>
            <w:r>
              <w:rPr>
                <w:rFonts w:asciiTheme="majorHAnsi" w:hAnsiTheme="majorHAnsi"/>
              </w:rPr>
              <w:t xml:space="preserve"> – </w:t>
            </w:r>
            <w:r w:rsidR="00772124">
              <w:rPr>
                <w:rFonts w:asciiTheme="majorHAnsi" w:hAnsiTheme="majorHAnsi"/>
              </w:rPr>
              <w:t>1</w:t>
            </w:r>
            <w:r>
              <w:rPr>
                <w:rFonts w:asciiTheme="majorHAnsi" w:hAnsiTheme="majorHAnsi"/>
              </w:rPr>
              <w:t>:</w:t>
            </w:r>
            <w:r w:rsidR="00A86A26">
              <w:rPr>
                <w:rFonts w:asciiTheme="majorHAnsi" w:hAnsiTheme="majorHAnsi"/>
              </w:rPr>
              <w:t>30</w:t>
            </w:r>
          </w:p>
        </w:tc>
        <w:tc>
          <w:tcPr>
            <w:tcW w:w="7920" w:type="dxa"/>
            <w:tcBorders>
              <w:bottom w:val="single" w:sz="4" w:space="0" w:color="auto"/>
            </w:tcBorders>
            <w:vAlign w:val="center"/>
          </w:tcPr>
          <w:p w:rsidR="00A50BB4" w:rsidRPr="00866724" w:rsidRDefault="00866724" w:rsidP="00017985">
            <w:pPr>
              <w:rPr>
                <w:rFonts w:asciiTheme="majorHAnsi" w:hAnsiTheme="majorHAnsi"/>
              </w:rPr>
            </w:pPr>
            <w:r w:rsidRPr="00866724">
              <w:rPr>
                <w:rFonts w:asciiTheme="majorHAnsi" w:hAnsiTheme="majorHAnsi"/>
              </w:rPr>
              <w:t>Break</w:t>
            </w:r>
          </w:p>
        </w:tc>
      </w:tr>
      <w:tr w:rsidR="00EE6842" w:rsidRPr="00A947A7" w:rsidTr="00866724">
        <w:trPr>
          <w:trHeight w:val="845"/>
        </w:trPr>
        <w:tc>
          <w:tcPr>
            <w:tcW w:w="1710" w:type="dxa"/>
            <w:vAlign w:val="center"/>
          </w:tcPr>
          <w:p w:rsidR="00EE6842" w:rsidRDefault="00772124" w:rsidP="00A86A26">
            <w:pPr>
              <w:rPr>
                <w:rFonts w:asciiTheme="majorHAnsi" w:hAnsiTheme="majorHAnsi"/>
              </w:rPr>
            </w:pPr>
            <w:r>
              <w:rPr>
                <w:rFonts w:asciiTheme="majorHAnsi" w:hAnsiTheme="majorHAnsi"/>
              </w:rPr>
              <w:t>1</w:t>
            </w:r>
            <w:r w:rsidR="00CC554A">
              <w:rPr>
                <w:rFonts w:asciiTheme="majorHAnsi" w:hAnsiTheme="majorHAnsi"/>
              </w:rPr>
              <w:t>:</w:t>
            </w:r>
            <w:r w:rsidR="00A86A26">
              <w:rPr>
                <w:rFonts w:asciiTheme="majorHAnsi" w:hAnsiTheme="majorHAnsi"/>
              </w:rPr>
              <w:t>30</w:t>
            </w:r>
            <w:r w:rsidR="00CC554A">
              <w:rPr>
                <w:rFonts w:asciiTheme="majorHAnsi" w:hAnsiTheme="majorHAnsi"/>
              </w:rPr>
              <w:t xml:space="preserve"> –</w:t>
            </w:r>
            <w:r w:rsidR="00A86A26">
              <w:rPr>
                <w:rFonts w:asciiTheme="majorHAnsi" w:hAnsiTheme="majorHAnsi"/>
              </w:rPr>
              <w:t xml:space="preserve"> 2:00</w:t>
            </w:r>
            <w:r w:rsidR="00CC554A">
              <w:rPr>
                <w:rFonts w:asciiTheme="majorHAnsi" w:hAnsiTheme="majorHAnsi"/>
              </w:rPr>
              <w:t xml:space="preserve"> </w:t>
            </w:r>
          </w:p>
        </w:tc>
        <w:tc>
          <w:tcPr>
            <w:tcW w:w="7920" w:type="dxa"/>
            <w:vAlign w:val="center"/>
          </w:tcPr>
          <w:p w:rsidR="00EE6842" w:rsidRPr="00866724" w:rsidRDefault="00866724" w:rsidP="00B217C9">
            <w:pPr>
              <w:rPr>
                <w:rFonts w:asciiTheme="majorHAnsi" w:hAnsiTheme="majorHAnsi"/>
              </w:rPr>
            </w:pPr>
            <w:r>
              <w:rPr>
                <w:rFonts w:asciiTheme="majorHAnsi" w:hAnsiTheme="majorHAnsi"/>
                <w:b/>
              </w:rPr>
              <w:t xml:space="preserve">Case Study Protocol – </w:t>
            </w:r>
            <w:r>
              <w:rPr>
                <w:rFonts w:asciiTheme="majorHAnsi" w:hAnsiTheme="majorHAnsi"/>
              </w:rPr>
              <w:t>Lynden &amp; Orcas Island</w:t>
            </w:r>
          </w:p>
        </w:tc>
      </w:tr>
      <w:tr w:rsidR="006259D4" w:rsidRPr="00A947A7" w:rsidTr="00866724">
        <w:trPr>
          <w:trHeight w:val="800"/>
        </w:trPr>
        <w:tc>
          <w:tcPr>
            <w:tcW w:w="1710" w:type="dxa"/>
            <w:vAlign w:val="center"/>
          </w:tcPr>
          <w:p w:rsidR="006259D4" w:rsidRDefault="00A86A26" w:rsidP="00A50BB4">
            <w:pPr>
              <w:rPr>
                <w:rFonts w:asciiTheme="majorHAnsi" w:hAnsiTheme="majorHAnsi"/>
              </w:rPr>
            </w:pPr>
            <w:r>
              <w:rPr>
                <w:rFonts w:asciiTheme="majorHAnsi" w:hAnsiTheme="majorHAnsi"/>
              </w:rPr>
              <w:t>2:00 – 3:00</w:t>
            </w:r>
          </w:p>
        </w:tc>
        <w:tc>
          <w:tcPr>
            <w:tcW w:w="7920" w:type="dxa"/>
            <w:vAlign w:val="center"/>
          </w:tcPr>
          <w:p w:rsidR="006259D4" w:rsidRDefault="00866724" w:rsidP="00B217C9">
            <w:pPr>
              <w:rPr>
                <w:rFonts w:asciiTheme="majorHAnsi" w:hAnsiTheme="majorHAnsi"/>
                <w:b/>
              </w:rPr>
            </w:pPr>
            <w:r>
              <w:rPr>
                <w:rFonts w:asciiTheme="majorHAnsi" w:hAnsiTheme="majorHAnsi"/>
                <w:b/>
              </w:rPr>
              <w:t>Leverage Leadership:  Culture, Data and Instruction</w:t>
            </w:r>
          </w:p>
        </w:tc>
      </w:tr>
      <w:tr w:rsidR="00866724" w:rsidRPr="00A947A7" w:rsidTr="00866724">
        <w:trPr>
          <w:trHeight w:val="890"/>
        </w:trPr>
        <w:tc>
          <w:tcPr>
            <w:tcW w:w="1710" w:type="dxa"/>
            <w:vAlign w:val="center"/>
          </w:tcPr>
          <w:p w:rsidR="00866724" w:rsidRDefault="00A86A26" w:rsidP="00A50BB4">
            <w:pPr>
              <w:rPr>
                <w:rFonts w:asciiTheme="majorHAnsi" w:hAnsiTheme="majorHAnsi"/>
              </w:rPr>
            </w:pPr>
            <w:r>
              <w:rPr>
                <w:rFonts w:asciiTheme="majorHAnsi" w:hAnsiTheme="majorHAnsi"/>
              </w:rPr>
              <w:t>3:00 – 3:30</w:t>
            </w:r>
          </w:p>
        </w:tc>
        <w:tc>
          <w:tcPr>
            <w:tcW w:w="7920" w:type="dxa"/>
            <w:vAlign w:val="center"/>
          </w:tcPr>
          <w:p w:rsidR="00866724" w:rsidRDefault="00866724" w:rsidP="00B217C9">
            <w:pPr>
              <w:rPr>
                <w:rFonts w:asciiTheme="majorHAnsi" w:hAnsiTheme="majorHAnsi"/>
                <w:b/>
              </w:rPr>
            </w:pPr>
            <w:r>
              <w:rPr>
                <w:rFonts w:asciiTheme="majorHAnsi" w:hAnsiTheme="majorHAnsi"/>
                <w:b/>
              </w:rPr>
              <w:t>Team Planning – Next Steps</w:t>
            </w:r>
          </w:p>
          <w:p w:rsidR="00866724" w:rsidRDefault="00866724" w:rsidP="00B217C9">
            <w:pPr>
              <w:rPr>
                <w:rFonts w:asciiTheme="majorHAnsi" w:hAnsiTheme="majorHAnsi"/>
                <w:b/>
              </w:rPr>
            </w:pPr>
            <w:r>
              <w:rPr>
                <w:rFonts w:asciiTheme="majorHAnsi" w:hAnsiTheme="majorHAnsi"/>
                <w:b/>
              </w:rPr>
              <w:t>Closing and Reflection</w:t>
            </w:r>
          </w:p>
        </w:tc>
      </w:tr>
    </w:tbl>
    <w:p w:rsidR="00FB6FE7" w:rsidRDefault="00FB6FE7"/>
    <w:sectPr w:rsidR="00FB6FE7" w:rsidSect="00772124">
      <w:pgSz w:w="12240" w:h="15840"/>
      <w:pgMar w:top="990" w:right="135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81C"/>
    <w:multiLevelType w:val="hybridMultilevel"/>
    <w:tmpl w:val="0A804DC8"/>
    <w:lvl w:ilvl="0" w:tplc="D39A392E">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57622"/>
    <w:multiLevelType w:val="hybridMultilevel"/>
    <w:tmpl w:val="D326E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B57A4"/>
    <w:multiLevelType w:val="hybridMultilevel"/>
    <w:tmpl w:val="095C6618"/>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613D4"/>
    <w:multiLevelType w:val="hybridMultilevel"/>
    <w:tmpl w:val="E39A41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952376E"/>
    <w:multiLevelType w:val="hybridMultilevel"/>
    <w:tmpl w:val="58E824E8"/>
    <w:lvl w:ilvl="0" w:tplc="04090001">
      <w:start w:val="1"/>
      <w:numFmt w:val="bullet"/>
      <w:lvlText w:val=""/>
      <w:lvlJc w:val="left"/>
      <w:pPr>
        <w:ind w:left="1080" w:hanging="720"/>
      </w:pPr>
      <w:rPr>
        <w:rFonts w:ascii="Symbol" w:hAnsi="Symbol" w:hint="default"/>
      </w:rPr>
    </w:lvl>
    <w:lvl w:ilvl="1" w:tplc="2BE434A8">
      <w:numFmt w:val="bullet"/>
      <w:lvlText w:val="•"/>
      <w:lvlJc w:val="left"/>
      <w:pPr>
        <w:ind w:left="1800" w:hanging="72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671E14"/>
    <w:multiLevelType w:val="hybridMultilevel"/>
    <w:tmpl w:val="AC3A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25823"/>
    <w:multiLevelType w:val="hybridMultilevel"/>
    <w:tmpl w:val="F386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34BCC"/>
    <w:multiLevelType w:val="hybridMultilevel"/>
    <w:tmpl w:val="438A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183F31"/>
    <w:multiLevelType w:val="hybridMultilevel"/>
    <w:tmpl w:val="A8F0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0C7002"/>
    <w:multiLevelType w:val="hybridMultilevel"/>
    <w:tmpl w:val="533C7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EAB5E1F"/>
    <w:multiLevelType w:val="hybridMultilevel"/>
    <w:tmpl w:val="4EE2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9E1C17"/>
    <w:multiLevelType w:val="hybridMultilevel"/>
    <w:tmpl w:val="A5A88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FA950DF"/>
    <w:multiLevelType w:val="hybridMultilevel"/>
    <w:tmpl w:val="5DDC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8A1DD1"/>
    <w:multiLevelType w:val="hybridMultilevel"/>
    <w:tmpl w:val="941A2726"/>
    <w:lvl w:ilvl="0" w:tplc="6BF8A80E">
      <w:numFmt w:val="bullet"/>
      <w:lvlText w:val="•"/>
      <w:lvlJc w:val="left"/>
      <w:pPr>
        <w:ind w:left="1080" w:hanging="720"/>
      </w:pPr>
      <w:rPr>
        <w:rFonts w:ascii="Arial" w:eastAsiaTheme="minorEastAsia"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6D3D94"/>
    <w:multiLevelType w:val="hybridMultilevel"/>
    <w:tmpl w:val="3894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E457EA"/>
    <w:multiLevelType w:val="hybridMultilevel"/>
    <w:tmpl w:val="005E90CE"/>
    <w:lvl w:ilvl="0" w:tplc="04090001">
      <w:start w:val="1"/>
      <w:numFmt w:val="bullet"/>
      <w:lvlText w:val=""/>
      <w:lvlJc w:val="left"/>
      <w:pPr>
        <w:ind w:left="1080" w:hanging="72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1935EB"/>
    <w:multiLevelType w:val="hybridMultilevel"/>
    <w:tmpl w:val="6450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6F562E"/>
    <w:multiLevelType w:val="hybridMultilevel"/>
    <w:tmpl w:val="CF78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B06E09"/>
    <w:multiLevelType w:val="hybridMultilevel"/>
    <w:tmpl w:val="324A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
  </w:num>
  <w:num w:numId="4">
    <w:abstractNumId w:val="8"/>
  </w:num>
  <w:num w:numId="5">
    <w:abstractNumId w:val="12"/>
  </w:num>
  <w:num w:numId="6">
    <w:abstractNumId w:val="1"/>
  </w:num>
  <w:num w:numId="7">
    <w:abstractNumId w:val="11"/>
  </w:num>
  <w:num w:numId="8">
    <w:abstractNumId w:val="9"/>
  </w:num>
  <w:num w:numId="9">
    <w:abstractNumId w:val="6"/>
  </w:num>
  <w:num w:numId="10">
    <w:abstractNumId w:val="14"/>
  </w:num>
  <w:num w:numId="11">
    <w:abstractNumId w:val="10"/>
  </w:num>
  <w:num w:numId="12">
    <w:abstractNumId w:val="16"/>
  </w:num>
  <w:num w:numId="13">
    <w:abstractNumId w:val="7"/>
  </w:num>
  <w:num w:numId="14">
    <w:abstractNumId w:val="13"/>
  </w:num>
  <w:num w:numId="15">
    <w:abstractNumId w:val="15"/>
  </w:num>
  <w:num w:numId="16">
    <w:abstractNumId w:val="5"/>
  </w:num>
  <w:num w:numId="17">
    <w:abstractNumId w:val="17"/>
  </w:num>
  <w:num w:numId="18">
    <w:abstractNumId w:val="0"/>
  </w:num>
  <w:num w:numId="19">
    <w:abstractNumId w:val="4"/>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233"/>
    <w:rsid w:val="00017697"/>
    <w:rsid w:val="00017985"/>
    <w:rsid w:val="00092199"/>
    <w:rsid w:val="000F1345"/>
    <w:rsid w:val="000F2721"/>
    <w:rsid w:val="001853A1"/>
    <w:rsid w:val="001D2E30"/>
    <w:rsid w:val="001E498A"/>
    <w:rsid w:val="0023481F"/>
    <w:rsid w:val="00250143"/>
    <w:rsid w:val="00372D6B"/>
    <w:rsid w:val="00382A90"/>
    <w:rsid w:val="003E663C"/>
    <w:rsid w:val="00477CB0"/>
    <w:rsid w:val="004B6730"/>
    <w:rsid w:val="00580034"/>
    <w:rsid w:val="005F2160"/>
    <w:rsid w:val="00615B86"/>
    <w:rsid w:val="006259D4"/>
    <w:rsid w:val="00633DD7"/>
    <w:rsid w:val="00772124"/>
    <w:rsid w:val="00794CFB"/>
    <w:rsid w:val="007D50F2"/>
    <w:rsid w:val="007D6233"/>
    <w:rsid w:val="00815556"/>
    <w:rsid w:val="00866724"/>
    <w:rsid w:val="00885DD4"/>
    <w:rsid w:val="008E4B76"/>
    <w:rsid w:val="00A50BB4"/>
    <w:rsid w:val="00A530D9"/>
    <w:rsid w:val="00A86A26"/>
    <w:rsid w:val="00A947A7"/>
    <w:rsid w:val="00B217C9"/>
    <w:rsid w:val="00B74C92"/>
    <w:rsid w:val="00B84813"/>
    <w:rsid w:val="00CC554A"/>
    <w:rsid w:val="00CC79F0"/>
    <w:rsid w:val="00E3203B"/>
    <w:rsid w:val="00E538C1"/>
    <w:rsid w:val="00E62F77"/>
    <w:rsid w:val="00E70555"/>
    <w:rsid w:val="00E94045"/>
    <w:rsid w:val="00EE6842"/>
    <w:rsid w:val="00F56D0F"/>
    <w:rsid w:val="00FB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233"/>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233"/>
    <w:pPr>
      <w:ind w:left="720"/>
      <w:contextualSpacing/>
    </w:pPr>
  </w:style>
  <w:style w:type="table" w:styleId="TableGrid">
    <w:name w:val="Table Grid"/>
    <w:basedOn w:val="TableNormal"/>
    <w:rsid w:val="000F1345"/>
    <w:pPr>
      <w:spacing w:after="0" w:line="240" w:lineRule="auto"/>
    </w:pPr>
    <w:rPr>
      <w:rFonts w:eastAsiaTheme="minorEastAsia"/>
      <w:sz w:val="24"/>
      <w:szCs w:val="24"/>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F1345"/>
    <w:rPr>
      <w:sz w:val="16"/>
      <w:szCs w:val="16"/>
    </w:rPr>
  </w:style>
  <w:style w:type="paragraph" w:styleId="CommentText">
    <w:name w:val="annotation text"/>
    <w:basedOn w:val="Normal"/>
    <w:link w:val="CommentTextChar"/>
    <w:uiPriority w:val="99"/>
    <w:semiHidden/>
    <w:unhideWhenUsed/>
    <w:rsid w:val="000F1345"/>
    <w:rPr>
      <w:sz w:val="20"/>
      <w:szCs w:val="20"/>
    </w:rPr>
  </w:style>
  <w:style w:type="character" w:customStyle="1" w:styleId="CommentTextChar">
    <w:name w:val="Comment Text Char"/>
    <w:basedOn w:val="DefaultParagraphFont"/>
    <w:link w:val="CommentText"/>
    <w:uiPriority w:val="99"/>
    <w:semiHidden/>
    <w:rsid w:val="000F1345"/>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0F1345"/>
    <w:rPr>
      <w:b/>
      <w:bCs/>
    </w:rPr>
  </w:style>
  <w:style w:type="character" w:customStyle="1" w:styleId="CommentSubjectChar">
    <w:name w:val="Comment Subject Char"/>
    <w:basedOn w:val="CommentTextChar"/>
    <w:link w:val="CommentSubject"/>
    <w:uiPriority w:val="99"/>
    <w:semiHidden/>
    <w:rsid w:val="000F1345"/>
    <w:rPr>
      <w:rFonts w:eastAsiaTheme="minorEastAsia"/>
      <w:b/>
      <w:bCs/>
      <w:sz w:val="20"/>
      <w:szCs w:val="20"/>
      <w:lang w:eastAsia="ja-JP"/>
    </w:rPr>
  </w:style>
  <w:style w:type="paragraph" w:styleId="BalloonText">
    <w:name w:val="Balloon Text"/>
    <w:basedOn w:val="Normal"/>
    <w:link w:val="BalloonTextChar"/>
    <w:uiPriority w:val="99"/>
    <w:semiHidden/>
    <w:unhideWhenUsed/>
    <w:rsid w:val="000F1345"/>
    <w:rPr>
      <w:rFonts w:ascii="Tahoma" w:hAnsi="Tahoma" w:cs="Tahoma"/>
      <w:sz w:val="16"/>
      <w:szCs w:val="16"/>
    </w:rPr>
  </w:style>
  <w:style w:type="character" w:customStyle="1" w:styleId="BalloonTextChar">
    <w:name w:val="Balloon Text Char"/>
    <w:basedOn w:val="DefaultParagraphFont"/>
    <w:link w:val="BalloonText"/>
    <w:uiPriority w:val="99"/>
    <w:semiHidden/>
    <w:rsid w:val="000F1345"/>
    <w:rPr>
      <w:rFonts w:ascii="Tahoma" w:eastAsiaTheme="minorEastAsi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233"/>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233"/>
    <w:pPr>
      <w:ind w:left="720"/>
      <w:contextualSpacing/>
    </w:pPr>
  </w:style>
  <w:style w:type="table" w:styleId="TableGrid">
    <w:name w:val="Table Grid"/>
    <w:basedOn w:val="TableNormal"/>
    <w:rsid w:val="000F1345"/>
    <w:pPr>
      <w:spacing w:after="0" w:line="240" w:lineRule="auto"/>
    </w:pPr>
    <w:rPr>
      <w:rFonts w:eastAsiaTheme="minorEastAsia"/>
      <w:sz w:val="24"/>
      <w:szCs w:val="24"/>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F1345"/>
    <w:rPr>
      <w:sz w:val="16"/>
      <w:szCs w:val="16"/>
    </w:rPr>
  </w:style>
  <w:style w:type="paragraph" w:styleId="CommentText">
    <w:name w:val="annotation text"/>
    <w:basedOn w:val="Normal"/>
    <w:link w:val="CommentTextChar"/>
    <w:uiPriority w:val="99"/>
    <w:semiHidden/>
    <w:unhideWhenUsed/>
    <w:rsid w:val="000F1345"/>
    <w:rPr>
      <w:sz w:val="20"/>
      <w:szCs w:val="20"/>
    </w:rPr>
  </w:style>
  <w:style w:type="character" w:customStyle="1" w:styleId="CommentTextChar">
    <w:name w:val="Comment Text Char"/>
    <w:basedOn w:val="DefaultParagraphFont"/>
    <w:link w:val="CommentText"/>
    <w:uiPriority w:val="99"/>
    <w:semiHidden/>
    <w:rsid w:val="000F1345"/>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0F1345"/>
    <w:rPr>
      <w:b/>
      <w:bCs/>
    </w:rPr>
  </w:style>
  <w:style w:type="character" w:customStyle="1" w:styleId="CommentSubjectChar">
    <w:name w:val="Comment Subject Char"/>
    <w:basedOn w:val="CommentTextChar"/>
    <w:link w:val="CommentSubject"/>
    <w:uiPriority w:val="99"/>
    <w:semiHidden/>
    <w:rsid w:val="000F1345"/>
    <w:rPr>
      <w:rFonts w:eastAsiaTheme="minorEastAsia"/>
      <w:b/>
      <w:bCs/>
      <w:sz w:val="20"/>
      <w:szCs w:val="20"/>
      <w:lang w:eastAsia="ja-JP"/>
    </w:rPr>
  </w:style>
  <w:style w:type="paragraph" w:styleId="BalloonText">
    <w:name w:val="Balloon Text"/>
    <w:basedOn w:val="Normal"/>
    <w:link w:val="BalloonTextChar"/>
    <w:uiPriority w:val="99"/>
    <w:semiHidden/>
    <w:unhideWhenUsed/>
    <w:rsid w:val="000F1345"/>
    <w:rPr>
      <w:rFonts w:ascii="Tahoma" w:hAnsi="Tahoma" w:cs="Tahoma"/>
      <w:sz w:val="16"/>
      <w:szCs w:val="16"/>
    </w:rPr>
  </w:style>
  <w:style w:type="character" w:customStyle="1" w:styleId="BalloonTextChar">
    <w:name w:val="Balloon Text Char"/>
    <w:basedOn w:val="DefaultParagraphFont"/>
    <w:link w:val="BalloonText"/>
    <w:uiPriority w:val="99"/>
    <w:semiHidden/>
    <w:rsid w:val="000F1345"/>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342579">
      <w:bodyDiv w:val="1"/>
      <w:marLeft w:val="0"/>
      <w:marRight w:val="0"/>
      <w:marTop w:val="0"/>
      <w:marBottom w:val="0"/>
      <w:divBdr>
        <w:top w:val="none" w:sz="0" w:space="0" w:color="auto"/>
        <w:left w:val="none" w:sz="0" w:space="0" w:color="auto"/>
        <w:bottom w:val="none" w:sz="0" w:space="0" w:color="auto"/>
        <w:right w:val="none" w:sz="0" w:space="0" w:color="auto"/>
      </w:divBdr>
    </w:div>
    <w:div w:id="196222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F6815B02</Template>
  <TotalTime>0</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Jennifer Longchamps</cp:lastModifiedBy>
  <cp:revision>2</cp:revision>
  <cp:lastPrinted>2011-11-16T16:28:00Z</cp:lastPrinted>
  <dcterms:created xsi:type="dcterms:W3CDTF">2013-10-10T17:23:00Z</dcterms:created>
  <dcterms:modified xsi:type="dcterms:W3CDTF">2013-10-10T17:23:00Z</dcterms:modified>
</cp:coreProperties>
</file>