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E123D6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Principal/Administrator Focused </w:t>
      </w:r>
      <w:r w:rsidR="00965B92">
        <w:rPr>
          <w:rFonts w:asciiTheme="minorHAnsi" w:hAnsiTheme="minorHAnsi" w:cstheme="minorHAnsi"/>
          <w:b/>
          <w:color w:val="000000"/>
          <w:sz w:val="32"/>
          <w:szCs w:val="32"/>
        </w:rPr>
        <w:t>Feedback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Document</w:t>
      </w:r>
    </w:p>
    <w:p w:rsidR="00FE3973" w:rsidRPr="007C5E68" w:rsidRDefault="00FE397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E054E2">
        <w:rPr>
          <w:rFonts w:asciiTheme="minorHAnsi" w:hAnsiTheme="minorHAnsi" w:cstheme="minorHAnsi"/>
          <w:b/>
          <w:color w:val="000000"/>
          <w:sz w:val="32"/>
          <w:szCs w:val="32"/>
        </w:rPr>
        <w:t>4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E123D6">
        <w:rPr>
          <w:rFonts w:asciiTheme="minorHAnsi" w:hAnsiTheme="minorHAnsi" w:cstheme="minorHAnsi"/>
          <w:b/>
          <w:color w:val="000000"/>
          <w:sz w:val="32"/>
          <w:szCs w:val="32"/>
        </w:rPr>
        <w:t>AWSP Leadership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E123D6" w:rsidRPr="007C5E68" w:rsidTr="00A04C03">
        <w:trPr>
          <w:trHeight w:val="413"/>
        </w:trPr>
        <w:tc>
          <w:tcPr>
            <w:tcW w:w="1350" w:type="dxa"/>
            <w:vAlign w:val="bottom"/>
          </w:tcPr>
          <w:p w:rsidR="00E123D6" w:rsidRPr="007C5E68" w:rsidRDefault="00E123D6" w:rsidP="00E123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vAlign w:val="bottom"/>
          </w:tcPr>
          <w:p w:rsidR="00E123D6" w:rsidRPr="007C5E68" w:rsidRDefault="00E123D6" w:rsidP="00E123D6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E123D6" w:rsidRPr="001978F2" w:rsidRDefault="00E123D6" w:rsidP="00E123D6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FORMCHECKBOX </w:instrText>
            </w:r>
            <w:r w:rsidR="00965B92">
              <w:rPr>
                <w:rFonts w:asciiTheme="majorHAnsi" w:hAnsiTheme="majorHAnsi" w:cs="Arial"/>
                <w:b/>
                <w:sz w:val="20"/>
                <w:szCs w:val="20"/>
              </w:rPr>
            </w:r>
            <w:r w:rsidR="00965B92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2790" w:type="dxa"/>
            <w:vAlign w:val="bottom"/>
          </w:tcPr>
          <w:p w:rsidR="00E123D6" w:rsidRPr="001978F2" w:rsidRDefault="00E123D6" w:rsidP="00E123D6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instrText xml:space="preserve"> FORMCHECKBOX </w:instrText>
            </w:r>
            <w:r w:rsidR="00965B92">
              <w:rPr>
                <w:rFonts w:asciiTheme="majorHAnsi" w:hAnsiTheme="majorHAnsi" w:cs="Arial"/>
                <w:sz w:val="20"/>
                <w:szCs w:val="20"/>
                <w:u w:val="single"/>
              </w:rPr>
            </w:r>
            <w:r w:rsidR="00965B92"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3444D">
              <w:rPr>
                <w:rFonts w:asciiTheme="majorHAnsi" w:hAnsiTheme="majorHAnsi" w:cs="Arial"/>
                <w:b/>
                <w:sz w:val="20"/>
                <w:szCs w:val="20"/>
              </w:rPr>
              <w:t>Asst. Principal</w:t>
            </w:r>
          </w:p>
        </w:tc>
        <w:tc>
          <w:tcPr>
            <w:tcW w:w="1530" w:type="dxa"/>
            <w:vAlign w:val="bottom"/>
          </w:tcPr>
          <w:p w:rsidR="00E123D6" w:rsidRPr="007C5E68" w:rsidRDefault="00E123D6" w:rsidP="00E12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E123D6" w:rsidRPr="007C5E68" w:rsidRDefault="00E123D6" w:rsidP="00E123D6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</w:t>
      </w:r>
      <w:r w:rsidR="00CC056C">
        <w:rPr>
          <w:rFonts w:asciiTheme="minorHAnsi" w:hAnsiTheme="minorHAnsi" w:cstheme="minorHAnsi"/>
          <w:color w:val="000000"/>
          <w:sz w:val="20"/>
          <w:szCs w:val="20"/>
        </w:rPr>
        <w:t xml:space="preserve">last 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Comprehensive score unless it is a </w:t>
      </w:r>
      <w:proofErr w:type="gramStart"/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BB0FEF" w:rsidP="00E123D6">
      <w:pPr>
        <w:spacing w:after="120" w:line="220" w:lineRule="atLeast"/>
        <w:ind w:left="1350" w:hanging="1350"/>
        <w:rPr>
          <w:rFonts w:asciiTheme="minorHAnsi" w:hAnsiTheme="minorHAnsi" w:cstheme="minorHAnsi"/>
          <w:color w:val="000000"/>
          <w:sz w:val="28"/>
          <w:szCs w:val="28"/>
        </w:rPr>
      </w:pPr>
      <w:r w:rsidRPr="007C5E68">
        <w:rPr>
          <w:rFonts w:asciiTheme="minorHAnsi" w:hAnsiTheme="minorHAnsi" w:cstheme="minorHAnsi"/>
          <w:b/>
          <w:bCs/>
          <w:sz w:val="28"/>
          <w:szCs w:val="28"/>
        </w:rPr>
        <w:t>Criteri</w:t>
      </w:r>
      <w:r w:rsidR="001D0495">
        <w:rPr>
          <w:rFonts w:asciiTheme="minorHAnsi" w:hAnsiTheme="minorHAnsi" w:cstheme="minorHAnsi"/>
          <w:b/>
          <w:bCs/>
          <w:sz w:val="28"/>
          <w:szCs w:val="28"/>
        </w:rPr>
        <w:t>on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54E2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E054E2">
        <w:rPr>
          <w:rFonts w:asciiTheme="minorHAnsi" w:hAnsiTheme="minorHAnsi" w:cstheme="minorHAnsi"/>
          <w:b/>
          <w:bCs/>
          <w:sz w:val="28"/>
          <w:szCs w:val="28"/>
        </w:rPr>
        <w:t>Assisting instructional staff with alignment of curriculum, instruction and assessment with state and local district learning goals.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700"/>
        <w:gridCol w:w="2790"/>
        <w:gridCol w:w="3150"/>
        <w:gridCol w:w="3690"/>
      </w:tblGrid>
      <w:tr w:rsidR="00E054E2" w:rsidRPr="007C5E68" w:rsidTr="00793F5C">
        <w:trPr>
          <w:trHeight w:val="302"/>
          <w:tblHeader/>
        </w:trPr>
        <w:tc>
          <w:tcPr>
            <w:tcW w:w="2005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7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6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054E2" w:rsidRPr="007C5E68" w:rsidTr="00793F5C">
        <w:trPr>
          <w:trHeight w:val="3581"/>
        </w:trPr>
        <w:tc>
          <w:tcPr>
            <w:tcW w:w="2005" w:type="dxa"/>
            <w:shd w:val="clear" w:color="auto" w:fill="D9D9D9" w:themeFill="background1" w:themeFillShade="D9"/>
          </w:tcPr>
          <w:p w:rsidR="00E054E2" w:rsidRPr="007C5E68" w:rsidRDefault="00E054E2" w:rsidP="00E054E2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4.1 Assists staff in aligning curricula to state and local district learning goals</w:t>
            </w:r>
          </w:p>
        </w:tc>
        <w:tc>
          <w:tcPr>
            <w:tcW w:w="27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incomplete or insufficient knowledge of state and local district learning goals across grade levels and content areas; has insufficient knowledge to evaluate curricula; does not effectively assist staff to align curricula to state and district learning goals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tabs>
                <w:tab w:val="left" w:pos="1004"/>
              </w:tabs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emerging knowledge and understanding of state and local district learning goals across grade levels and content areas to facilitate some alignment activities with staff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Systematically focuses staff on alignment of their lessons to approved learning targets; establishes a system that uses feedback from the assessments to make adjustments to curricula</w:t>
            </w:r>
          </w:p>
        </w:tc>
        <w:tc>
          <w:tcPr>
            <w:tcW w:w="36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Is proficient AND provides leadership and support such that teachers have fully aligned curriculum materials and training on how to use them; staff takes ownership of the alignment processes of goals to curricula; staff understand alignment of curricula to state and local district learning goals as foundational to the improvement of teaching and learning</w:t>
            </w:r>
          </w:p>
        </w:tc>
      </w:tr>
      <w:tr w:rsidR="00E054E2" w:rsidRPr="007C5E68" w:rsidTr="00793F5C">
        <w:tc>
          <w:tcPr>
            <w:tcW w:w="2005" w:type="dxa"/>
            <w:shd w:val="clear" w:color="auto" w:fill="D9D9D9" w:themeFill="background1" w:themeFillShade="D9"/>
          </w:tcPr>
          <w:p w:rsidR="00E054E2" w:rsidRPr="007C5E68" w:rsidRDefault="00E054E2" w:rsidP="00E054E2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54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4.2 Assists staff in aligning best instructional practices to state and district learning goals </w:t>
            </w:r>
            <w:r w:rsidRPr="001E17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intellectual safety</w:t>
            </w:r>
          </w:p>
        </w:tc>
        <w:tc>
          <w:tcPr>
            <w:tcW w:w="27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incomplete or insufficient knowledge of best instructional practices across grade levels and content areas; does not effectively assist staff to align instructional practices to state and district learning goals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sufficient knowledge and understanding of best instructional practices across grade levels and content areas to facilitate some alignment activities with staff; emerging knowledge of culturally-relevant teaching &amp; learning methodologies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deep knowledge of best instructional practices for diverse populations and how to align these with curricula; systematically focuses staff on alignment; establishes a system for ongoing alignment that involves staff; continually supports, monitors alignment and makes adjustments; has teacher teams cooperatively plan aligned units, reviews them and then gives teachers feedback; reads and shares research that fosters an ongoing, school-wide discussion on best practices for non-proficient to above-proficient students</w:t>
            </w:r>
          </w:p>
        </w:tc>
        <w:tc>
          <w:tcPr>
            <w:tcW w:w="36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Is proficient AND provides leadership and support such that staff understand alignment of best instructional practice to state and district learning goals as foundational to the improvement of teaching and learning; teachers design high quality, aligned units to discuss with their teams; ensures that staff is current on professional literature regarding curriculum alignment</w:t>
            </w:r>
          </w:p>
        </w:tc>
      </w:tr>
      <w:tr w:rsidR="00E054E2" w:rsidRPr="007C5E68" w:rsidTr="00793F5C">
        <w:trPr>
          <w:trHeight w:val="4373"/>
        </w:trPr>
        <w:tc>
          <w:tcPr>
            <w:tcW w:w="2005" w:type="dxa"/>
            <w:shd w:val="clear" w:color="auto" w:fill="D9D9D9" w:themeFill="background1" w:themeFillShade="D9"/>
          </w:tcPr>
          <w:p w:rsidR="00E054E2" w:rsidRPr="00E054E2" w:rsidRDefault="00E054E2" w:rsidP="00E054E2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54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 Assists staff in aligning assessment practices to best instructional practices</w:t>
            </w:r>
          </w:p>
        </w:tc>
        <w:tc>
          <w:tcPr>
            <w:tcW w:w="27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incomplete or insufficient knowledge of assessment in terms of reliability, validity and fairness; does not effectively assist staff to align assessments to instructional practices</w:t>
            </w:r>
          </w:p>
        </w:tc>
        <w:tc>
          <w:tcPr>
            <w:tcW w:w="27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emerging knowledge and understanding of assessment in terms of reliability, validity and fairness; facilitates the implementation of certain aspects of a balanced (diagnostic, formative and summative) assessment system; facilitates the alignment of assessment to best instructional practices in some grade levels</w:t>
            </w:r>
          </w:p>
        </w:tc>
        <w:tc>
          <w:tcPr>
            <w:tcW w:w="31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Has deep knowledge of assessment; every course has a document (syllabus, course outline or learning objectives) that identifies the learning outcomes in language accessible to students and parents; student work created in response to teachers’ assessments of the learning outcomes accurately reflect the state standards</w:t>
            </w:r>
            <w:r w:rsidRPr="00E054E2">
              <w:rPr>
                <w:b/>
                <w:color w:val="00B0F0"/>
                <w:sz w:val="19"/>
                <w:szCs w:val="19"/>
              </w:rPr>
              <w:t xml:space="preserve"> </w:t>
            </w:r>
            <w:r w:rsidRPr="00E054E2">
              <w:rPr>
                <w:sz w:val="19"/>
                <w:szCs w:val="19"/>
              </w:rPr>
              <w:t>and district learning goals/targets; continually provides support to systematically focus staff on alignment of assessment to instruction using best practices; establishes a system for ongoing alignment of formative and summative assessment that involves staff members</w:t>
            </w:r>
          </w:p>
        </w:tc>
        <w:tc>
          <w:tcPr>
            <w:tcW w:w="36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4E2" w:rsidRPr="00E054E2" w:rsidRDefault="00E054E2" w:rsidP="00E054E2">
            <w:pPr>
              <w:pStyle w:val="NoSpacing"/>
              <w:rPr>
                <w:sz w:val="19"/>
                <w:szCs w:val="19"/>
              </w:rPr>
            </w:pPr>
            <w:r w:rsidRPr="00E054E2">
              <w:rPr>
                <w:sz w:val="19"/>
                <w:szCs w:val="19"/>
              </w:rPr>
              <w:t>Is proficient AND provides leadership and support such that staff takes ownership of the alignment processes of assessment to instructional practices; staff understand the alignment of assessment to teaching as foundational to the improvement of teaching and learning</w:t>
            </w:r>
          </w:p>
        </w:tc>
      </w:tr>
    </w:tbl>
    <w:p w:rsidR="00793F5C" w:rsidRDefault="00793F5C" w:rsidP="00E4146E">
      <w:pPr>
        <w:pStyle w:val="F"/>
        <w:spacing w:line="240" w:lineRule="auto"/>
        <w:contextualSpacing/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sectPr w:rsidR="00793F5C" w:rsidSect="00BB0FEF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900" w:right="810" w:bottom="720" w:left="720" w:header="720" w:footer="720" w:gutter="0"/>
          <w:cols w:space="720"/>
          <w:docGrid w:linePitch="360"/>
        </w:sectPr>
      </w:pPr>
    </w:p>
    <w:tbl>
      <w:tblPr>
        <w:tblW w:w="143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700"/>
        <w:gridCol w:w="2790"/>
        <w:gridCol w:w="3150"/>
        <w:gridCol w:w="3690"/>
      </w:tblGrid>
      <w:tr w:rsidR="005321FD" w:rsidRPr="007C5E68" w:rsidTr="00AE750B">
        <w:trPr>
          <w:trHeight w:val="647"/>
        </w:trPr>
        <w:tc>
          <w:tcPr>
            <w:tcW w:w="1433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CC056C" w:rsidP="00E4146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Reflections of Student Growth</w:t>
            </w:r>
          </w:p>
        </w:tc>
      </w:tr>
      <w:tr w:rsidR="00793F5C" w:rsidRPr="007C5E68" w:rsidTr="00AE750B">
        <w:trPr>
          <w:trHeight w:val="98"/>
          <w:tblHeader/>
        </w:trPr>
        <w:tc>
          <w:tcPr>
            <w:tcW w:w="2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93F5C" w:rsidRPr="007C5E68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793F5C">
            <w:pPr>
              <w:pStyle w:val="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3F5C" w:rsidRPr="007C5E68" w:rsidTr="00AE750B">
        <w:trPr>
          <w:trHeight w:val="302"/>
          <w:tblHeader/>
        </w:trPr>
        <w:tc>
          <w:tcPr>
            <w:tcW w:w="2005" w:type="dxa"/>
            <w:tcBorders>
              <w:top w:val="nil"/>
              <w:left w:val="nil"/>
            </w:tcBorders>
            <w:shd w:val="clear" w:color="auto" w:fill="auto"/>
          </w:tcPr>
          <w:p w:rsidR="00793F5C" w:rsidRPr="007C5E68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7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690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93F5C" w:rsidRPr="00F10950" w:rsidRDefault="00793F5C" w:rsidP="00CD3585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E054E2" w:rsidRPr="007C5E68" w:rsidTr="00AE750B">
        <w:trPr>
          <w:trHeight w:val="521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3.5 Provides evidence of student growth that results from the school improvement planning process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no improvement in student academic growth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minimal improvement in student academic growth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measurable improvement in student academic growth</w:t>
            </w:r>
          </w:p>
        </w:tc>
        <w:tc>
          <w:tcPr>
            <w:tcW w:w="36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18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School improvement planning process results in significant improvement in student academic growth</w:t>
            </w:r>
          </w:p>
        </w:tc>
      </w:tr>
      <w:tr w:rsidR="00E054E2" w:rsidRPr="007C5E68" w:rsidTr="00AE750B">
        <w:trPr>
          <w:trHeight w:val="1498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E4146E" w:rsidRDefault="00E4146E" w:rsidP="00E4146E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5.5 Provides evidence of student growth of selected teachers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no academic growth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minimal academic growth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measurable academic growth</w:t>
            </w:r>
          </w:p>
        </w:tc>
        <w:tc>
          <w:tcPr>
            <w:tcW w:w="36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Multiple measures of student achievement of selected teachers show significant academic growth</w:t>
            </w:r>
          </w:p>
        </w:tc>
      </w:tr>
      <w:tr w:rsidR="00E054E2" w:rsidRPr="007C5E68" w:rsidTr="00AE750B">
        <w:trPr>
          <w:trHeight w:val="2128"/>
        </w:trPr>
        <w:tc>
          <w:tcPr>
            <w:tcW w:w="20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4146E" w:rsidRPr="007C5E68" w:rsidRDefault="00E4146E" w:rsidP="00E4146E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14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8.3 Provides evidence of growth in student learning</w:t>
            </w:r>
          </w:p>
        </w:tc>
        <w:tc>
          <w:tcPr>
            <w:tcW w:w="27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no evidence of student growth toward the district’s learning goals; there are growing achievement gaps between student subgroups</w:t>
            </w:r>
          </w:p>
        </w:tc>
        <w:tc>
          <w:tcPr>
            <w:tcW w:w="2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shows minimum evidence of student growth toward the district’s learning goals for identified subgroups of students</w:t>
            </w:r>
          </w:p>
        </w:tc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4146E" w:rsidRPr="00E4146E" w:rsidRDefault="00E4146E" w:rsidP="00E4146E">
            <w:pP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improving student growth toward the district’s learning goals; the average achievement of the student population improved as does the achievement of each subgroup of students identified as needing improvement</w:t>
            </w:r>
          </w:p>
        </w:tc>
        <w:tc>
          <w:tcPr>
            <w:tcW w:w="36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E4146E" w:rsidRPr="00E4146E" w:rsidRDefault="00E4146E" w:rsidP="00D57767">
            <w:pPr>
              <w:ind w:left="181" w:right="91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4146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Achievement data from multiple sources or data points show evidence of consistent growth toward the district’s learning goals; there is consistent record of improved student achievement, on multiple indicators, with identified subgroups of students</w:t>
            </w:r>
          </w:p>
        </w:tc>
      </w:tr>
    </w:tbl>
    <w:p w:rsidR="00DE4031" w:rsidRDefault="00DE4031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93F5C" w:rsidRDefault="00793F5C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E750B" w:rsidRDefault="00AE750B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C34824" w:rsidTr="00793F5C">
        <w:trPr>
          <w:trHeight w:val="172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793F5C">
        <w:trPr>
          <w:trHeight w:val="2115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 xml:space="preserve">Both signatures required.  Signing of this instrument acknowledges participation in but not necessarily concurrence with the evaluation.  (Attach </w:t>
      </w:r>
      <w:r w:rsidR="00D03590">
        <w:rPr>
          <w:rFonts w:asciiTheme="minorHAnsi" w:hAnsiTheme="minorHAnsi" w:cstheme="minorHAnsi"/>
          <w:sz w:val="22"/>
          <w:szCs w:val="22"/>
        </w:rPr>
        <w:t>Principal/Administrator</w:t>
      </w:r>
      <w:r w:rsidRPr="00DE4031">
        <w:rPr>
          <w:rFonts w:asciiTheme="minorHAnsi" w:hAnsiTheme="minorHAnsi" w:cstheme="minorHAnsi"/>
          <w:sz w:val="22"/>
          <w:szCs w:val="22"/>
        </w:rPr>
        <w:t xml:space="preserve">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D8788B" w:rsidP="00D8788B">
      <w:pPr>
        <w:tabs>
          <w:tab w:val="left" w:pos="13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34045" w:rsidRPr="007C5E68" w:rsidSect="00BB0FEF"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3" w:rsidRDefault="00C27493" w:rsidP="00A41673">
      <w:r>
        <w:separator/>
      </w:r>
    </w:p>
  </w:endnote>
  <w:endnote w:type="continuationSeparator" w:id="0">
    <w:p w:rsidR="00C27493" w:rsidRDefault="00C2749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E4146E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E4146E">
      <w:rPr>
        <w:rFonts w:asciiTheme="majorHAnsi" w:hAnsiTheme="majorHAnsi"/>
        <w:sz w:val="18"/>
        <w:szCs w:val="18"/>
      </w:rPr>
      <w:t xml:space="preserve">Principal/Administrator </w:t>
    </w:r>
    <w:r>
      <w:rPr>
        <w:rFonts w:asciiTheme="majorHAnsi" w:hAnsiTheme="majorHAnsi"/>
        <w:sz w:val="18"/>
        <w:szCs w:val="18"/>
      </w:rPr>
      <w:t>Focused</w:t>
    </w:r>
    <w:r w:rsidRPr="00E4146E">
      <w:rPr>
        <w:rFonts w:asciiTheme="majorHAnsi" w:hAnsiTheme="majorHAnsi"/>
        <w:sz w:val="18"/>
        <w:szCs w:val="18"/>
      </w:rPr>
      <w:t xml:space="preserve"> Evaluation </w:t>
    </w:r>
    <w:r w:rsidR="007D4D70" w:rsidRPr="007D4D70">
      <w:rPr>
        <w:rFonts w:asciiTheme="majorHAnsi" w:hAnsiTheme="majorHAnsi"/>
        <w:sz w:val="18"/>
        <w:szCs w:val="18"/>
      </w:rPr>
      <w:t xml:space="preserve">– Criterion </w:t>
    </w:r>
    <w:r w:rsidR="00E054E2">
      <w:rPr>
        <w:rFonts w:asciiTheme="majorHAnsi" w:hAnsiTheme="majorHAnsi"/>
        <w:sz w:val="18"/>
        <w:szCs w:val="18"/>
      </w:rPr>
      <w:t>4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</w:r>
    <w:r w:rsidR="007D4D70">
      <w:rPr>
        <w:rFonts w:asciiTheme="majorHAnsi" w:hAnsiTheme="majorHAnsi"/>
        <w:sz w:val="18"/>
        <w:szCs w:val="18"/>
      </w:rPr>
      <w:t xml:space="preserve"> </w:t>
    </w:r>
    <w:r w:rsidR="007D4D70" w:rsidRPr="007D4D70">
      <w:rPr>
        <w:rFonts w:asciiTheme="majorHAnsi" w:hAnsiTheme="majorHAnsi"/>
        <w:sz w:val="18"/>
        <w:szCs w:val="18"/>
      </w:rPr>
      <w:tab/>
    </w:r>
    <w:r w:rsidR="007D4D70" w:rsidRPr="007D4D70">
      <w:rPr>
        <w:rFonts w:asciiTheme="majorHAnsi" w:hAnsiTheme="majorHAnsi"/>
        <w:sz w:val="18"/>
        <w:szCs w:val="18"/>
      </w:rPr>
      <w:tab/>
      <w:t xml:space="preserve">  </w:t>
    </w:r>
    <w:r w:rsidR="007D4D70"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</w:t>
    </w:r>
    <w:r w:rsidR="00CB75E8">
      <w:rPr>
        <w:rFonts w:asciiTheme="majorHAnsi" w:hAnsiTheme="majorHAnsi"/>
        <w:sz w:val="18"/>
        <w:szCs w:val="18"/>
      </w:rPr>
      <w:t xml:space="preserve">                   </w:t>
    </w:r>
    <w:r w:rsidR="00546E2B">
      <w:rPr>
        <w:rFonts w:asciiTheme="majorHAnsi" w:hAnsiTheme="majorHAnsi"/>
        <w:sz w:val="18"/>
        <w:szCs w:val="18"/>
      </w:rPr>
      <w:t xml:space="preserve"> </w:t>
    </w:r>
    <w:r w:rsidR="007D4D70">
      <w:rPr>
        <w:rFonts w:asciiTheme="majorHAnsi" w:hAnsiTheme="majorHAnsi"/>
        <w:sz w:val="18"/>
        <w:szCs w:val="18"/>
      </w:rPr>
      <w:t xml:space="preserve">  </w:t>
    </w:r>
    <w:r w:rsidR="007D4D70" w:rsidRPr="007D4D70">
      <w:rPr>
        <w:rFonts w:asciiTheme="majorHAnsi" w:hAnsiTheme="majorHAnsi"/>
        <w:sz w:val="18"/>
        <w:szCs w:val="18"/>
      </w:rPr>
      <w:t xml:space="preserve"> Last Modified </w:t>
    </w:r>
    <w:r w:rsidR="00D8788B">
      <w:rPr>
        <w:rFonts w:asciiTheme="majorHAnsi" w:hAnsiTheme="majorHAnsi"/>
        <w:sz w:val="18"/>
        <w:szCs w:val="18"/>
      </w:rPr>
      <w:t>10</w:t>
    </w:r>
    <w:r w:rsidR="007D4D70" w:rsidRPr="007D4D70">
      <w:rPr>
        <w:rFonts w:asciiTheme="majorHAnsi" w:hAnsiTheme="majorHAnsi"/>
        <w:sz w:val="18"/>
        <w:szCs w:val="18"/>
      </w:rPr>
      <w:t>.</w:t>
    </w:r>
    <w:r>
      <w:rPr>
        <w:rFonts w:asciiTheme="majorHAnsi" w:hAnsiTheme="majorHAnsi"/>
        <w:sz w:val="18"/>
        <w:szCs w:val="18"/>
      </w:rPr>
      <w:t>25</w:t>
    </w:r>
    <w:r w:rsidR="007D4D70"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3" w:rsidRDefault="00C27493" w:rsidP="00A41673">
      <w:r>
        <w:separator/>
      </w:r>
    </w:p>
  </w:footnote>
  <w:footnote w:type="continuationSeparator" w:id="0">
    <w:p w:rsidR="00C27493" w:rsidRDefault="00C2749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965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E123D6" w:rsidP="00FE3973">
                          <w:pPr>
                            <w:jc w:val="right"/>
                          </w:pPr>
                          <w:r>
                            <w:t>FORM 5240-L</w:t>
                          </w:r>
                          <w:r w:rsidR="00E054E2">
                            <w:t>4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5B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65B9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E123D6" w:rsidP="00FE3973">
                    <w:pPr>
                      <w:jc w:val="right"/>
                    </w:pPr>
                    <w:r>
                      <w:t>FORM 5240-L</w:t>
                    </w:r>
                    <w:r w:rsidR="00E054E2">
                      <w:t>4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5B9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65B9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965B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965B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0495"/>
    <w:rsid w:val="001D7677"/>
    <w:rsid w:val="001E177B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F63B8"/>
    <w:rsid w:val="0062714B"/>
    <w:rsid w:val="006321AC"/>
    <w:rsid w:val="0065686B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3F5C"/>
    <w:rsid w:val="0079427E"/>
    <w:rsid w:val="007A034B"/>
    <w:rsid w:val="007B28A2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47466"/>
    <w:rsid w:val="00965B92"/>
    <w:rsid w:val="00966952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AE750B"/>
    <w:rsid w:val="00B11FCF"/>
    <w:rsid w:val="00B3451D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784A"/>
    <w:rsid w:val="00CA61F1"/>
    <w:rsid w:val="00CB20F7"/>
    <w:rsid w:val="00CB75E8"/>
    <w:rsid w:val="00CC056C"/>
    <w:rsid w:val="00CC24DE"/>
    <w:rsid w:val="00D00C8C"/>
    <w:rsid w:val="00D03590"/>
    <w:rsid w:val="00D13035"/>
    <w:rsid w:val="00D52964"/>
    <w:rsid w:val="00D57767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6848"/>
    <w:rsid w:val="00E022D6"/>
    <w:rsid w:val="00E0242A"/>
    <w:rsid w:val="00E054E2"/>
    <w:rsid w:val="00E123D6"/>
    <w:rsid w:val="00E141C4"/>
    <w:rsid w:val="00E14C5B"/>
    <w:rsid w:val="00E20E61"/>
    <w:rsid w:val="00E30A19"/>
    <w:rsid w:val="00E4146E"/>
    <w:rsid w:val="00E4207F"/>
    <w:rsid w:val="00E62704"/>
    <w:rsid w:val="00E74333"/>
    <w:rsid w:val="00EA0C8E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08632F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NoSpacing">
    <w:name w:val="No Spacing"/>
    <w:uiPriority w:val="1"/>
    <w:qFormat/>
    <w:rsid w:val="00E4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6DF-DF65-466B-9879-D78E2C4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5</cp:revision>
  <cp:lastPrinted>2013-08-16T22:11:00Z</cp:lastPrinted>
  <dcterms:created xsi:type="dcterms:W3CDTF">2017-10-26T21:57:00Z</dcterms:created>
  <dcterms:modified xsi:type="dcterms:W3CDTF">2017-12-06T22:09:00Z</dcterms:modified>
</cp:coreProperties>
</file>