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5C" w:rsidRDefault="00981C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5589"/>
        <w:gridCol w:w="4525"/>
      </w:tblGrid>
      <w:tr w:rsidR="00386343" w:rsidTr="00D66469">
        <w:trPr>
          <w:tblHeader/>
        </w:trPr>
        <w:tc>
          <w:tcPr>
            <w:tcW w:w="6491" w:type="dxa"/>
            <w:gridSpan w:val="2"/>
            <w:tcBorders>
              <w:bottom w:val="single" w:sz="4" w:space="0" w:color="auto"/>
            </w:tcBorders>
          </w:tcPr>
          <w:p w:rsidR="00386343" w:rsidRPr="00386343" w:rsidRDefault="00386343">
            <w:pPr>
              <w:rPr>
                <w:b/>
              </w:rPr>
            </w:pPr>
            <w:r>
              <w:rPr>
                <w:b/>
              </w:rPr>
              <w:t>Core Instructional Practice</w:t>
            </w:r>
          </w:p>
        </w:tc>
        <w:tc>
          <w:tcPr>
            <w:tcW w:w="4525" w:type="dxa"/>
            <w:tcBorders>
              <w:bottom w:val="single" w:sz="4" w:space="0" w:color="auto"/>
            </w:tcBorders>
          </w:tcPr>
          <w:p w:rsidR="00386343" w:rsidRPr="00D66469" w:rsidRDefault="00D66469">
            <w:pPr>
              <w:rPr>
                <w:b/>
              </w:rPr>
            </w:pPr>
            <w:r w:rsidRPr="00D66469">
              <w:rPr>
                <w:b/>
              </w:rPr>
              <w:t>Reflections</w:t>
            </w:r>
          </w:p>
        </w:tc>
      </w:tr>
      <w:tr w:rsidR="00386343" w:rsidTr="00D66469">
        <w:trPr>
          <w:trHeight w:val="4032"/>
        </w:trPr>
        <w:tc>
          <w:tcPr>
            <w:tcW w:w="902" w:type="dxa"/>
            <w:tcBorders>
              <w:top w:val="single" w:sz="4" w:space="0" w:color="auto"/>
              <w:left w:val="single" w:sz="4" w:space="0" w:color="auto"/>
              <w:bottom w:val="single" w:sz="4" w:space="0" w:color="auto"/>
            </w:tcBorders>
          </w:tcPr>
          <w:p w:rsidR="00386343" w:rsidRDefault="00386343" w:rsidP="00981C5C">
            <w:r>
              <w:t>CIP1.</w:t>
            </w:r>
          </w:p>
        </w:tc>
        <w:tc>
          <w:tcPr>
            <w:tcW w:w="5589" w:type="dxa"/>
            <w:tcBorders>
              <w:top w:val="single" w:sz="4" w:space="0" w:color="auto"/>
              <w:left w:val="nil"/>
              <w:bottom w:val="single" w:sz="4" w:space="0" w:color="auto"/>
              <w:right w:val="single" w:sz="4" w:space="0" w:color="auto"/>
            </w:tcBorders>
          </w:tcPr>
          <w:p w:rsidR="00386343" w:rsidRDefault="00386343">
            <w:r>
              <w:t xml:space="preserve">Identify the learning goals for each lesson, align these goals to the learning standards for the grade and content areas, and identify the preceding and </w:t>
            </w:r>
            <w:r w:rsidRPr="00386343">
              <w:rPr>
                <w:rFonts w:ascii="Arial Narrow" w:hAnsi="Arial Narrow"/>
              </w:rPr>
              <w:t>succeeding</w:t>
            </w:r>
            <w:r>
              <w:t xml:space="preserve"> skills and concepts within the appropriate learning progression.</w:t>
            </w:r>
          </w:p>
        </w:tc>
        <w:tc>
          <w:tcPr>
            <w:tcW w:w="4525" w:type="dxa"/>
            <w:tcBorders>
              <w:top w:val="single" w:sz="4" w:space="0" w:color="auto"/>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bottom w:val="single" w:sz="4" w:space="0" w:color="auto"/>
            </w:tcBorders>
          </w:tcPr>
          <w:p w:rsidR="00386343" w:rsidRDefault="00386343"/>
        </w:tc>
        <w:tc>
          <w:tcPr>
            <w:tcW w:w="5589" w:type="dxa"/>
            <w:tcBorders>
              <w:top w:val="single" w:sz="4" w:space="0" w:color="auto"/>
              <w:bottom w:val="single" w:sz="4" w:space="0" w:color="auto"/>
            </w:tcBorders>
          </w:tcPr>
          <w:p w:rsidR="00386343" w:rsidRDefault="00386343"/>
        </w:tc>
        <w:tc>
          <w:tcPr>
            <w:tcW w:w="4525" w:type="dxa"/>
            <w:tcBorders>
              <w:top w:val="single" w:sz="4" w:space="0" w:color="auto"/>
              <w:bottom w:val="single" w:sz="4" w:space="0" w:color="auto"/>
            </w:tcBorders>
          </w:tcPr>
          <w:p w:rsidR="00386343" w:rsidRDefault="00386343"/>
        </w:tc>
      </w:tr>
      <w:tr w:rsidR="00386343" w:rsidTr="00D66469">
        <w:trPr>
          <w:trHeight w:val="4032"/>
        </w:trPr>
        <w:tc>
          <w:tcPr>
            <w:tcW w:w="902" w:type="dxa"/>
            <w:tcBorders>
              <w:top w:val="single" w:sz="4" w:space="0" w:color="auto"/>
              <w:left w:val="single" w:sz="4" w:space="0" w:color="auto"/>
              <w:bottom w:val="single" w:sz="4" w:space="0" w:color="auto"/>
            </w:tcBorders>
          </w:tcPr>
          <w:p w:rsidR="00386343" w:rsidRDefault="00386343" w:rsidP="00981C5C">
            <w:r>
              <w:t>CIP2.</w:t>
            </w:r>
          </w:p>
        </w:tc>
        <w:tc>
          <w:tcPr>
            <w:tcW w:w="5589" w:type="dxa"/>
            <w:tcBorders>
              <w:top w:val="single" w:sz="4" w:space="0" w:color="auto"/>
              <w:left w:val="nil"/>
              <w:bottom w:val="single" w:sz="4" w:space="0" w:color="auto"/>
              <w:right w:val="single" w:sz="4" w:space="0" w:color="auto"/>
            </w:tcBorders>
          </w:tcPr>
          <w:p w:rsidR="00386343" w:rsidRDefault="00386343">
            <w:r>
              <w:t>Create literacy-rich classroom environments to support language and literacy learning for diverse student populations, including English language learners, students with disabilities, gifted students, and others – as identified by teachers or schools – who need additional scaffolding, monitoring, or support, including access for all students to grade-appropriate texts and tasks. This practice includes regularly leading whole-class and small-group discussions in which students practice speaking, listening, and building on one another’s thinking.</w:t>
            </w:r>
          </w:p>
        </w:tc>
        <w:tc>
          <w:tcPr>
            <w:tcW w:w="4525" w:type="dxa"/>
            <w:tcBorders>
              <w:top w:val="single" w:sz="4" w:space="0" w:color="auto"/>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tcBorders>
          </w:tcPr>
          <w:p w:rsidR="00386343" w:rsidRDefault="00386343"/>
        </w:tc>
        <w:tc>
          <w:tcPr>
            <w:tcW w:w="5589" w:type="dxa"/>
            <w:tcBorders>
              <w:top w:val="single" w:sz="4" w:space="0" w:color="auto"/>
            </w:tcBorders>
          </w:tcPr>
          <w:p w:rsidR="00386343" w:rsidRDefault="00386343"/>
        </w:tc>
        <w:tc>
          <w:tcPr>
            <w:tcW w:w="4525" w:type="dxa"/>
            <w:tcBorders>
              <w:top w:val="single" w:sz="4" w:space="0" w:color="auto"/>
            </w:tcBorders>
          </w:tcPr>
          <w:p w:rsidR="00386343" w:rsidRDefault="00386343"/>
        </w:tc>
      </w:tr>
      <w:tr w:rsidR="00386343" w:rsidTr="00D66469">
        <w:trPr>
          <w:trHeight w:val="4032"/>
        </w:trPr>
        <w:tc>
          <w:tcPr>
            <w:tcW w:w="902" w:type="dxa"/>
            <w:tcBorders>
              <w:left w:val="single" w:sz="4" w:space="0" w:color="auto"/>
              <w:bottom w:val="single" w:sz="4" w:space="0" w:color="auto"/>
            </w:tcBorders>
          </w:tcPr>
          <w:p w:rsidR="00386343" w:rsidRDefault="00386343">
            <w:r>
              <w:lastRenderedPageBreak/>
              <w:t>CIP3.</w:t>
            </w:r>
          </w:p>
        </w:tc>
        <w:tc>
          <w:tcPr>
            <w:tcW w:w="5589" w:type="dxa"/>
            <w:tcBorders>
              <w:left w:val="nil"/>
              <w:bottom w:val="single" w:sz="4" w:space="0" w:color="auto"/>
              <w:right w:val="single" w:sz="4" w:space="0" w:color="auto"/>
            </w:tcBorders>
          </w:tcPr>
          <w:p w:rsidR="00386343" w:rsidRDefault="00386343">
            <w:r>
              <w:t>Embed the content being taught in contexts that connect to the real world, as appropriate, and emphasize modeling real-world phenomena, where appropriate.</w:t>
            </w:r>
          </w:p>
        </w:tc>
        <w:tc>
          <w:tcPr>
            <w:tcW w:w="4525" w:type="dxa"/>
            <w:tcBorders>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bottom w:val="single" w:sz="4" w:space="0" w:color="auto"/>
            </w:tcBorders>
          </w:tcPr>
          <w:p w:rsidR="00386343" w:rsidRDefault="00386343"/>
        </w:tc>
        <w:tc>
          <w:tcPr>
            <w:tcW w:w="5589" w:type="dxa"/>
            <w:tcBorders>
              <w:top w:val="single" w:sz="4" w:space="0" w:color="auto"/>
              <w:bottom w:val="single" w:sz="4" w:space="0" w:color="auto"/>
            </w:tcBorders>
          </w:tcPr>
          <w:p w:rsidR="00386343" w:rsidRDefault="00386343"/>
        </w:tc>
        <w:tc>
          <w:tcPr>
            <w:tcW w:w="4525" w:type="dxa"/>
            <w:tcBorders>
              <w:top w:val="single" w:sz="4" w:space="0" w:color="auto"/>
              <w:bottom w:val="single" w:sz="4" w:space="0" w:color="auto"/>
            </w:tcBorders>
          </w:tcPr>
          <w:p w:rsidR="00386343" w:rsidRDefault="00386343"/>
        </w:tc>
      </w:tr>
      <w:tr w:rsidR="00386343" w:rsidTr="00D66469">
        <w:trPr>
          <w:trHeight w:val="4032"/>
        </w:trPr>
        <w:tc>
          <w:tcPr>
            <w:tcW w:w="902" w:type="dxa"/>
            <w:tcBorders>
              <w:top w:val="single" w:sz="4" w:space="0" w:color="auto"/>
              <w:left w:val="single" w:sz="4" w:space="0" w:color="auto"/>
              <w:bottom w:val="single" w:sz="4" w:space="0" w:color="auto"/>
            </w:tcBorders>
          </w:tcPr>
          <w:p w:rsidR="00386343" w:rsidRDefault="00386343">
            <w:r>
              <w:t>CIP4.</w:t>
            </w:r>
          </w:p>
        </w:tc>
        <w:tc>
          <w:tcPr>
            <w:tcW w:w="5589" w:type="dxa"/>
            <w:tcBorders>
              <w:top w:val="single" w:sz="4" w:space="0" w:color="auto"/>
              <w:left w:val="nil"/>
              <w:bottom w:val="single" w:sz="4" w:space="0" w:color="auto"/>
              <w:right w:val="single" w:sz="4" w:space="0" w:color="auto"/>
            </w:tcBorders>
          </w:tcPr>
          <w:p w:rsidR="00386343" w:rsidRDefault="00386343">
            <w:r>
              <w:t>Teach vocabulary by doing all of the following:</w:t>
            </w:r>
          </w:p>
          <w:p w:rsidR="00386343" w:rsidRDefault="00386343" w:rsidP="00E95CA5">
            <w:pPr>
              <w:pStyle w:val="ListParagraph"/>
              <w:numPr>
                <w:ilvl w:val="0"/>
                <w:numId w:val="1"/>
              </w:numPr>
              <w:ind w:left="360"/>
            </w:pPr>
            <w:r>
              <w:t>Regularly embedding grade-appropriate academic vocabulary and domain-specific vocabulary in tasks and assignments</w:t>
            </w:r>
          </w:p>
          <w:p w:rsidR="00386343" w:rsidRDefault="00386343" w:rsidP="00E95CA5">
            <w:pPr>
              <w:pStyle w:val="ListParagraph"/>
              <w:numPr>
                <w:ilvl w:val="0"/>
                <w:numId w:val="1"/>
              </w:numPr>
              <w:ind w:left="360"/>
            </w:pPr>
            <w:r>
              <w:t>Questioning and leading discussions with individuals and groups of students</w:t>
            </w:r>
          </w:p>
          <w:p w:rsidR="00386343" w:rsidRDefault="00386343" w:rsidP="00E95CA5">
            <w:pPr>
              <w:pStyle w:val="ListParagraph"/>
              <w:numPr>
                <w:ilvl w:val="0"/>
                <w:numId w:val="1"/>
              </w:numPr>
              <w:ind w:left="360"/>
            </w:pPr>
            <w:r>
              <w:t>Encouraging the accurate use of terminology through guidance and feedback</w:t>
            </w:r>
          </w:p>
          <w:p w:rsidR="00386343" w:rsidRDefault="00386343" w:rsidP="00E95CA5">
            <w:pPr>
              <w:pStyle w:val="ListParagraph"/>
              <w:numPr>
                <w:ilvl w:val="0"/>
                <w:numId w:val="1"/>
              </w:numPr>
              <w:ind w:left="360"/>
            </w:pPr>
            <w:r>
              <w:t>Demonstrating how to acquire new vocabulary through reading</w:t>
            </w:r>
          </w:p>
          <w:p w:rsidR="00386343" w:rsidRDefault="00386343" w:rsidP="00E95CA5">
            <w:pPr>
              <w:pStyle w:val="ListParagraph"/>
              <w:numPr>
                <w:ilvl w:val="0"/>
                <w:numId w:val="1"/>
              </w:numPr>
              <w:ind w:left="360"/>
            </w:pPr>
            <w:r>
              <w:t>Providing definitions and examples of academic and domain-specific vocabulary as well as providing access to multiple print and digital sources of definitions</w:t>
            </w:r>
          </w:p>
        </w:tc>
        <w:tc>
          <w:tcPr>
            <w:tcW w:w="4525" w:type="dxa"/>
            <w:tcBorders>
              <w:top w:val="single" w:sz="4" w:space="0" w:color="auto"/>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tcBorders>
          </w:tcPr>
          <w:p w:rsidR="00386343" w:rsidRDefault="00386343"/>
        </w:tc>
        <w:tc>
          <w:tcPr>
            <w:tcW w:w="5589" w:type="dxa"/>
            <w:tcBorders>
              <w:top w:val="single" w:sz="4" w:space="0" w:color="auto"/>
            </w:tcBorders>
          </w:tcPr>
          <w:p w:rsidR="00386343" w:rsidRDefault="00386343">
            <w:bookmarkStart w:id="0" w:name="_GoBack"/>
            <w:bookmarkEnd w:id="0"/>
          </w:p>
        </w:tc>
        <w:tc>
          <w:tcPr>
            <w:tcW w:w="4525" w:type="dxa"/>
            <w:tcBorders>
              <w:top w:val="single" w:sz="4" w:space="0" w:color="auto"/>
            </w:tcBorders>
          </w:tcPr>
          <w:p w:rsidR="00386343" w:rsidRDefault="00386343"/>
        </w:tc>
      </w:tr>
      <w:tr w:rsidR="00386343" w:rsidTr="00D66469">
        <w:trPr>
          <w:trHeight w:val="4032"/>
        </w:trPr>
        <w:tc>
          <w:tcPr>
            <w:tcW w:w="902" w:type="dxa"/>
            <w:tcBorders>
              <w:left w:val="single" w:sz="4" w:space="0" w:color="auto"/>
              <w:bottom w:val="single" w:sz="4" w:space="0" w:color="auto"/>
            </w:tcBorders>
          </w:tcPr>
          <w:p w:rsidR="00386343" w:rsidRDefault="00386343">
            <w:r>
              <w:lastRenderedPageBreak/>
              <w:t>CIP5.</w:t>
            </w:r>
          </w:p>
        </w:tc>
        <w:tc>
          <w:tcPr>
            <w:tcW w:w="5589" w:type="dxa"/>
            <w:tcBorders>
              <w:left w:val="nil"/>
              <w:bottom w:val="single" w:sz="4" w:space="0" w:color="auto"/>
              <w:right w:val="single" w:sz="4" w:space="0" w:color="auto"/>
            </w:tcBorders>
          </w:tcPr>
          <w:p w:rsidR="00386343" w:rsidRDefault="00386343">
            <w:r>
              <w:t>Demonstrate and guide students in the appropriate and strategic use of technology (e.g., computer software and hardware, the Internet, social media networks) as a set of tools for research, learning, and communication.</w:t>
            </w:r>
          </w:p>
        </w:tc>
        <w:tc>
          <w:tcPr>
            <w:tcW w:w="4525" w:type="dxa"/>
            <w:tcBorders>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bottom w:val="single" w:sz="4" w:space="0" w:color="auto"/>
            </w:tcBorders>
          </w:tcPr>
          <w:p w:rsidR="00386343" w:rsidRDefault="00386343"/>
        </w:tc>
        <w:tc>
          <w:tcPr>
            <w:tcW w:w="5589" w:type="dxa"/>
            <w:tcBorders>
              <w:top w:val="single" w:sz="4" w:space="0" w:color="auto"/>
              <w:bottom w:val="single" w:sz="4" w:space="0" w:color="auto"/>
            </w:tcBorders>
          </w:tcPr>
          <w:p w:rsidR="00386343" w:rsidRDefault="00386343"/>
        </w:tc>
        <w:tc>
          <w:tcPr>
            <w:tcW w:w="4525" w:type="dxa"/>
            <w:tcBorders>
              <w:top w:val="single" w:sz="4" w:space="0" w:color="auto"/>
              <w:bottom w:val="single" w:sz="4" w:space="0" w:color="auto"/>
            </w:tcBorders>
          </w:tcPr>
          <w:p w:rsidR="00386343" w:rsidRDefault="00386343"/>
        </w:tc>
      </w:tr>
      <w:tr w:rsidR="00386343" w:rsidTr="00D66469">
        <w:trPr>
          <w:trHeight w:val="4032"/>
        </w:trPr>
        <w:tc>
          <w:tcPr>
            <w:tcW w:w="902" w:type="dxa"/>
            <w:tcBorders>
              <w:top w:val="single" w:sz="4" w:space="0" w:color="auto"/>
              <w:left w:val="single" w:sz="4" w:space="0" w:color="auto"/>
              <w:bottom w:val="single" w:sz="4" w:space="0" w:color="auto"/>
            </w:tcBorders>
          </w:tcPr>
          <w:p w:rsidR="00386343" w:rsidRDefault="00386343">
            <w:r>
              <w:t>CIP 6.</w:t>
            </w:r>
          </w:p>
        </w:tc>
        <w:tc>
          <w:tcPr>
            <w:tcW w:w="5589" w:type="dxa"/>
            <w:tcBorders>
              <w:top w:val="single" w:sz="4" w:space="0" w:color="auto"/>
              <w:left w:val="nil"/>
              <w:bottom w:val="single" w:sz="4" w:space="0" w:color="auto"/>
              <w:right w:val="single" w:sz="4" w:space="0" w:color="auto"/>
            </w:tcBorders>
          </w:tcPr>
          <w:p w:rsidR="00386343" w:rsidRDefault="00386343">
            <w:r>
              <w:t>Select, modify, sequence, and assign tasks, activities, and problems that are aligned with the lesson’s learning goals and that promote the development of student understanding of the learning goals.</w:t>
            </w:r>
          </w:p>
        </w:tc>
        <w:tc>
          <w:tcPr>
            <w:tcW w:w="4525" w:type="dxa"/>
            <w:tcBorders>
              <w:top w:val="single" w:sz="4" w:space="0" w:color="auto"/>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tcBorders>
          </w:tcPr>
          <w:p w:rsidR="00386343" w:rsidRDefault="00386343"/>
        </w:tc>
        <w:tc>
          <w:tcPr>
            <w:tcW w:w="5589" w:type="dxa"/>
            <w:tcBorders>
              <w:top w:val="single" w:sz="4" w:space="0" w:color="auto"/>
            </w:tcBorders>
          </w:tcPr>
          <w:p w:rsidR="00386343" w:rsidRDefault="00386343"/>
        </w:tc>
        <w:tc>
          <w:tcPr>
            <w:tcW w:w="4525" w:type="dxa"/>
            <w:tcBorders>
              <w:top w:val="single" w:sz="4" w:space="0" w:color="auto"/>
            </w:tcBorders>
          </w:tcPr>
          <w:p w:rsidR="00386343" w:rsidRDefault="00386343"/>
        </w:tc>
      </w:tr>
      <w:tr w:rsidR="00386343" w:rsidTr="00D66469">
        <w:trPr>
          <w:trHeight w:val="4032"/>
        </w:trPr>
        <w:tc>
          <w:tcPr>
            <w:tcW w:w="902" w:type="dxa"/>
            <w:tcBorders>
              <w:left w:val="single" w:sz="4" w:space="0" w:color="auto"/>
              <w:bottom w:val="single" w:sz="4" w:space="0" w:color="auto"/>
            </w:tcBorders>
          </w:tcPr>
          <w:p w:rsidR="00386343" w:rsidRDefault="00386343">
            <w:r>
              <w:lastRenderedPageBreak/>
              <w:t>CIP7.</w:t>
            </w:r>
          </w:p>
        </w:tc>
        <w:tc>
          <w:tcPr>
            <w:tcW w:w="5589" w:type="dxa"/>
            <w:tcBorders>
              <w:left w:val="nil"/>
              <w:bottom w:val="single" w:sz="4" w:space="0" w:color="auto"/>
              <w:right w:val="single" w:sz="4" w:space="0" w:color="auto"/>
            </w:tcBorders>
          </w:tcPr>
          <w:p w:rsidR="00386343" w:rsidRDefault="00386343">
            <w:r>
              <w:t>Use rich, problem-based tasks: encourage students to persevere in reaching solutions and to grapple with the tasks.</w:t>
            </w:r>
          </w:p>
        </w:tc>
        <w:tc>
          <w:tcPr>
            <w:tcW w:w="4525" w:type="dxa"/>
            <w:tcBorders>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bottom w:val="single" w:sz="4" w:space="0" w:color="auto"/>
            </w:tcBorders>
          </w:tcPr>
          <w:p w:rsidR="00386343" w:rsidRDefault="00386343"/>
        </w:tc>
        <w:tc>
          <w:tcPr>
            <w:tcW w:w="5589" w:type="dxa"/>
            <w:tcBorders>
              <w:top w:val="single" w:sz="4" w:space="0" w:color="auto"/>
              <w:bottom w:val="single" w:sz="4" w:space="0" w:color="auto"/>
            </w:tcBorders>
          </w:tcPr>
          <w:p w:rsidR="00386343" w:rsidRDefault="00386343"/>
        </w:tc>
        <w:tc>
          <w:tcPr>
            <w:tcW w:w="4525" w:type="dxa"/>
            <w:tcBorders>
              <w:top w:val="single" w:sz="4" w:space="0" w:color="auto"/>
              <w:bottom w:val="single" w:sz="4" w:space="0" w:color="auto"/>
            </w:tcBorders>
          </w:tcPr>
          <w:p w:rsidR="00386343" w:rsidRDefault="00386343"/>
        </w:tc>
      </w:tr>
      <w:tr w:rsidR="00386343" w:rsidTr="00D66469">
        <w:trPr>
          <w:trHeight w:val="4032"/>
        </w:trPr>
        <w:tc>
          <w:tcPr>
            <w:tcW w:w="902" w:type="dxa"/>
            <w:tcBorders>
              <w:top w:val="single" w:sz="4" w:space="0" w:color="auto"/>
              <w:left w:val="single" w:sz="4" w:space="0" w:color="auto"/>
              <w:bottom w:val="single" w:sz="4" w:space="0" w:color="auto"/>
            </w:tcBorders>
          </w:tcPr>
          <w:p w:rsidR="00386343" w:rsidRDefault="00386343">
            <w:r>
              <w:t>CIP8.</w:t>
            </w:r>
          </w:p>
        </w:tc>
        <w:tc>
          <w:tcPr>
            <w:tcW w:w="5589" w:type="dxa"/>
            <w:tcBorders>
              <w:top w:val="single" w:sz="4" w:space="0" w:color="auto"/>
              <w:left w:val="nil"/>
              <w:bottom w:val="single" w:sz="4" w:space="0" w:color="auto"/>
              <w:right w:val="single" w:sz="4" w:space="0" w:color="auto"/>
            </w:tcBorders>
          </w:tcPr>
          <w:p w:rsidR="00386343" w:rsidRDefault="00386343">
            <w:r>
              <w:t>Promote reasoning and sense-making through consistent use of questions such as:</w:t>
            </w:r>
          </w:p>
          <w:p w:rsidR="00386343" w:rsidRDefault="00386343">
            <w:r>
              <w:t xml:space="preserve"> “Why?”</w:t>
            </w:r>
          </w:p>
          <w:p w:rsidR="00386343" w:rsidRDefault="00386343">
            <w:r>
              <w:t xml:space="preserve"> “How do you know?” and</w:t>
            </w:r>
          </w:p>
          <w:p w:rsidR="00386343" w:rsidRDefault="00386343">
            <w:r>
              <w:t>“Can you explain your thinking?”</w:t>
            </w:r>
          </w:p>
          <w:p w:rsidR="00386343" w:rsidRDefault="00386343">
            <w:r>
              <w:t>Use the answers to these questions to orchestrate classroom discussions in which students explain and defend their thinking and critique the reasoning of others.</w:t>
            </w:r>
          </w:p>
        </w:tc>
        <w:tc>
          <w:tcPr>
            <w:tcW w:w="4525" w:type="dxa"/>
            <w:tcBorders>
              <w:top w:val="single" w:sz="4" w:space="0" w:color="auto"/>
              <w:left w:val="single" w:sz="4" w:space="0" w:color="auto"/>
              <w:bottom w:val="single" w:sz="4" w:space="0" w:color="auto"/>
              <w:right w:val="single" w:sz="4" w:space="0" w:color="auto"/>
            </w:tcBorders>
          </w:tcPr>
          <w:p w:rsidR="00386343" w:rsidRDefault="00386343"/>
        </w:tc>
      </w:tr>
      <w:tr w:rsidR="00386343" w:rsidTr="00D66469">
        <w:tc>
          <w:tcPr>
            <w:tcW w:w="902" w:type="dxa"/>
            <w:tcBorders>
              <w:top w:val="single" w:sz="4" w:space="0" w:color="auto"/>
            </w:tcBorders>
          </w:tcPr>
          <w:p w:rsidR="00386343" w:rsidRDefault="00386343"/>
        </w:tc>
        <w:tc>
          <w:tcPr>
            <w:tcW w:w="5589" w:type="dxa"/>
            <w:tcBorders>
              <w:top w:val="single" w:sz="4" w:space="0" w:color="auto"/>
            </w:tcBorders>
          </w:tcPr>
          <w:p w:rsidR="00386343" w:rsidRDefault="00386343"/>
        </w:tc>
        <w:tc>
          <w:tcPr>
            <w:tcW w:w="4525" w:type="dxa"/>
            <w:tcBorders>
              <w:top w:val="single" w:sz="4" w:space="0" w:color="auto"/>
            </w:tcBorders>
          </w:tcPr>
          <w:p w:rsidR="00386343" w:rsidRDefault="00386343"/>
        </w:tc>
      </w:tr>
      <w:tr w:rsidR="00386343" w:rsidTr="00D66469">
        <w:trPr>
          <w:trHeight w:val="4032"/>
        </w:trPr>
        <w:tc>
          <w:tcPr>
            <w:tcW w:w="902" w:type="dxa"/>
            <w:tcBorders>
              <w:left w:val="single" w:sz="4" w:space="0" w:color="auto"/>
              <w:bottom w:val="single" w:sz="4" w:space="0" w:color="auto"/>
            </w:tcBorders>
          </w:tcPr>
          <w:p w:rsidR="00386343" w:rsidRDefault="00386343">
            <w:r>
              <w:lastRenderedPageBreak/>
              <w:t>CIP9.</w:t>
            </w:r>
          </w:p>
        </w:tc>
        <w:tc>
          <w:tcPr>
            <w:tcW w:w="5589" w:type="dxa"/>
            <w:tcBorders>
              <w:left w:val="nil"/>
              <w:bottom w:val="single" w:sz="4" w:space="0" w:color="auto"/>
              <w:right w:val="single" w:sz="4" w:space="0" w:color="auto"/>
            </w:tcBorders>
          </w:tcPr>
          <w:p w:rsidR="00386343" w:rsidRDefault="00386343">
            <w:r>
              <w:t>Use of questioning and formative assessments to gather evidence of learning throughout every lesson to monitor student learning and assess the degree to which each student has met the learning goals.</w:t>
            </w:r>
          </w:p>
        </w:tc>
        <w:tc>
          <w:tcPr>
            <w:tcW w:w="4525" w:type="dxa"/>
            <w:tcBorders>
              <w:left w:val="single" w:sz="4" w:space="0" w:color="auto"/>
              <w:bottom w:val="single" w:sz="4" w:space="0" w:color="auto"/>
              <w:right w:val="single" w:sz="4" w:space="0" w:color="auto"/>
            </w:tcBorders>
          </w:tcPr>
          <w:p w:rsidR="00386343" w:rsidRDefault="00386343"/>
        </w:tc>
      </w:tr>
    </w:tbl>
    <w:p w:rsidR="00981C5C" w:rsidRDefault="00981C5C"/>
    <w:sectPr w:rsidR="00981C5C" w:rsidSect="0038634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43" w:rsidRDefault="00386343" w:rsidP="00386343">
      <w:r>
        <w:separator/>
      </w:r>
    </w:p>
  </w:endnote>
  <w:endnote w:type="continuationSeparator" w:id="0">
    <w:p w:rsidR="00386343" w:rsidRDefault="00386343" w:rsidP="0038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343" w:rsidRPr="00386343" w:rsidRDefault="00386343" w:rsidP="00386343">
    <w:pPr>
      <w:rPr>
        <w:i/>
        <w:sz w:val="20"/>
        <w:szCs w:val="20"/>
      </w:rPr>
    </w:pPr>
    <w:r w:rsidRPr="00386343">
      <w:rPr>
        <w:i/>
        <w:sz w:val="20"/>
        <w:szCs w:val="20"/>
      </w:rPr>
      <w:t>Center on Great Teachers &amp; Leaders</w:t>
    </w:r>
  </w:p>
  <w:p w:rsidR="00386343" w:rsidRPr="00386343" w:rsidRDefault="00386343" w:rsidP="00386343">
    <w:pPr>
      <w:rPr>
        <w:i/>
        <w:sz w:val="20"/>
        <w:szCs w:val="20"/>
      </w:rPr>
    </w:pPr>
    <w:r w:rsidRPr="00386343">
      <w:rPr>
        <w:i/>
        <w:sz w:val="20"/>
        <w:szCs w:val="20"/>
      </w:rPr>
      <w:t>A Division of American Institutes for Research</w:t>
    </w:r>
  </w:p>
  <w:p w:rsidR="00386343" w:rsidRDefault="00386343">
    <w:pPr>
      <w:pStyle w:val="Footer"/>
    </w:pPr>
  </w:p>
  <w:p w:rsidR="00386343" w:rsidRDefault="00386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43" w:rsidRDefault="00386343" w:rsidP="00386343">
      <w:r>
        <w:separator/>
      </w:r>
    </w:p>
  </w:footnote>
  <w:footnote w:type="continuationSeparator" w:id="0">
    <w:p w:rsidR="00386343" w:rsidRDefault="00386343" w:rsidP="0038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69" w:rsidRPr="00D66469" w:rsidRDefault="00D66469">
    <w:pPr>
      <w:pStyle w:val="Header"/>
      <w:rPr>
        <w:rFonts w:ascii="Arial Narrow" w:hAnsi="Arial Narrow"/>
        <w:b/>
        <w:sz w:val="28"/>
        <w:szCs w:val="28"/>
      </w:rPr>
    </w:pPr>
    <w:r w:rsidRPr="00D66469">
      <w:rPr>
        <w:rFonts w:ascii="Arial Narrow" w:hAnsi="Arial Narrow"/>
        <w:b/>
        <w:sz w:val="28"/>
        <w:szCs w:val="28"/>
      </w:rPr>
      <w:t>Core Instructional Practices for Common Core Standards</w:t>
    </w:r>
  </w:p>
  <w:p w:rsidR="00D66469" w:rsidRDefault="00D66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141BC"/>
    <w:multiLevelType w:val="hybridMultilevel"/>
    <w:tmpl w:val="F90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5C"/>
    <w:rsid w:val="00221D65"/>
    <w:rsid w:val="00334B32"/>
    <w:rsid w:val="0036094E"/>
    <w:rsid w:val="00386343"/>
    <w:rsid w:val="00601183"/>
    <w:rsid w:val="00981C5C"/>
    <w:rsid w:val="00A8718A"/>
    <w:rsid w:val="00CE728D"/>
    <w:rsid w:val="00D66469"/>
    <w:rsid w:val="00E9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A5"/>
    <w:pPr>
      <w:ind w:left="720"/>
      <w:contextualSpacing/>
    </w:pPr>
  </w:style>
  <w:style w:type="paragraph" w:styleId="Header">
    <w:name w:val="header"/>
    <w:basedOn w:val="Normal"/>
    <w:link w:val="HeaderChar"/>
    <w:uiPriority w:val="99"/>
    <w:unhideWhenUsed/>
    <w:rsid w:val="00386343"/>
    <w:pPr>
      <w:tabs>
        <w:tab w:val="center" w:pos="4680"/>
        <w:tab w:val="right" w:pos="9360"/>
      </w:tabs>
    </w:pPr>
  </w:style>
  <w:style w:type="character" w:customStyle="1" w:styleId="HeaderChar">
    <w:name w:val="Header Char"/>
    <w:basedOn w:val="DefaultParagraphFont"/>
    <w:link w:val="Header"/>
    <w:uiPriority w:val="99"/>
    <w:rsid w:val="00386343"/>
  </w:style>
  <w:style w:type="paragraph" w:styleId="Footer">
    <w:name w:val="footer"/>
    <w:basedOn w:val="Normal"/>
    <w:link w:val="FooterChar"/>
    <w:uiPriority w:val="99"/>
    <w:unhideWhenUsed/>
    <w:rsid w:val="00386343"/>
    <w:pPr>
      <w:tabs>
        <w:tab w:val="center" w:pos="4680"/>
        <w:tab w:val="right" w:pos="9360"/>
      </w:tabs>
    </w:pPr>
  </w:style>
  <w:style w:type="character" w:customStyle="1" w:styleId="FooterChar">
    <w:name w:val="Footer Char"/>
    <w:basedOn w:val="DefaultParagraphFont"/>
    <w:link w:val="Footer"/>
    <w:uiPriority w:val="99"/>
    <w:rsid w:val="00386343"/>
  </w:style>
  <w:style w:type="paragraph" w:styleId="BalloonText">
    <w:name w:val="Balloon Text"/>
    <w:basedOn w:val="Normal"/>
    <w:link w:val="BalloonTextChar"/>
    <w:uiPriority w:val="99"/>
    <w:semiHidden/>
    <w:unhideWhenUsed/>
    <w:rsid w:val="00386343"/>
    <w:rPr>
      <w:rFonts w:ascii="Tahoma" w:hAnsi="Tahoma" w:cs="Tahoma"/>
      <w:sz w:val="16"/>
      <w:szCs w:val="16"/>
    </w:rPr>
  </w:style>
  <w:style w:type="character" w:customStyle="1" w:styleId="BalloonTextChar">
    <w:name w:val="Balloon Text Char"/>
    <w:basedOn w:val="DefaultParagraphFont"/>
    <w:link w:val="BalloonText"/>
    <w:uiPriority w:val="99"/>
    <w:semiHidden/>
    <w:rsid w:val="00386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CA5"/>
    <w:pPr>
      <w:ind w:left="720"/>
      <w:contextualSpacing/>
    </w:pPr>
  </w:style>
  <w:style w:type="paragraph" w:styleId="Header">
    <w:name w:val="header"/>
    <w:basedOn w:val="Normal"/>
    <w:link w:val="HeaderChar"/>
    <w:uiPriority w:val="99"/>
    <w:unhideWhenUsed/>
    <w:rsid w:val="00386343"/>
    <w:pPr>
      <w:tabs>
        <w:tab w:val="center" w:pos="4680"/>
        <w:tab w:val="right" w:pos="9360"/>
      </w:tabs>
    </w:pPr>
  </w:style>
  <w:style w:type="character" w:customStyle="1" w:styleId="HeaderChar">
    <w:name w:val="Header Char"/>
    <w:basedOn w:val="DefaultParagraphFont"/>
    <w:link w:val="Header"/>
    <w:uiPriority w:val="99"/>
    <w:rsid w:val="00386343"/>
  </w:style>
  <w:style w:type="paragraph" w:styleId="Footer">
    <w:name w:val="footer"/>
    <w:basedOn w:val="Normal"/>
    <w:link w:val="FooterChar"/>
    <w:uiPriority w:val="99"/>
    <w:unhideWhenUsed/>
    <w:rsid w:val="00386343"/>
    <w:pPr>
      <w:tabs>
        <w:tab w:val="center" w:pos="4680"/>
        <w:tab w:val="right" w:pos="9360"/>
      </w:tabs>
    </w:pPr>
  </w:style>
  <w:style w:type="character" w:customStyle="1" w:styleId="FooterChar">
    <w:name w:val="Footer Char"/>
    <w:basedOn w:val="DefaultParagraphFont"/>
    <w:link w:val="Footer"/>
    <w:uiPriority w:val="99"/>
    <w:rsid w:val="00386343"/>
  </w:style>
  <w:style w:type="paragraph" w:styleId="BalloonText">
    <w:name w:val="Balloon Text"/>
    <w:basedOn w:val="Normal"/>
    <w:link w:val="BalloonTextChar"/>
    <w:uiPriority w:val="99"/>
    <w:semiHidden/>
    <w:unhideWhenUsed/>
    <w:rsid w:val="00386343"/>
    <w:rPr>
      <w:rFonts w:ascii="Tahoma" w:hAnsi="Tahoma" w:cs="Tahoma"/>
      <w:sz w:val="16"/>
      <w:szCs w:val="16"/>
    </w:rPr>
  </w:style>
  <w:style w:type="character" w:customStyle="1" w:styleId="BalloonTextChar">
    <w:name w:val="Balloon Text Char"/>
    <w:basedOn w:val="DefaultParagraphFont"/>
    <w:link w:val="BalloonText"/>
    <w:uiPriority w:val="99"/>
    <w:semiHidden/>
    <w:rsid w:val="00386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DF7EA4A5</Template>
  <TotalTime>0</TotalTime>
  <Pages>5</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Kessie</dc:creator>
  <cp:lastModifiedBy>Jennifer Longchamps</cp:lastModifiedBy>
  <cp:revision>2</cp:revision>
  <dcterms:created xsi:type="dcterms:W3CDTF">2014-10-29T21:00:00Z</dcterms:created>
  <dcterms:modified xsi:type="dcterms:W3CDTF">2014-10-29T21:00:00Z</dcterms:modified>
</cp:coreProperties>
</file>