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74CE" w14:textId="021F2376" w:rsidR="0092468F" w:rsidRPr="005919D7" w:rsidRDefault="005641B4" w:rsidP="0092468F">
      <w:pPr>
        <w:jc w:val="center"/>
        <w:rPr>
          <w:b/>
          <w:sz w:val="32"/>
          <w:szCs w:val="32"/>
        </w:rPr>
      </w:pPr>
      <w:r w:rsidRPr="005919D7">
        <w:rPr>
          <w:b/>
          <w:sz w:val="32"/>
          <w:szCs w:val="32"/>
        </w:rPr>
        <w:t>NWESD 189 Highly Capable Program</w:t>
      </w:r>
      <w:r w:rsidR="0092468F" w:rsidRPr="005919D7">
        <w:rPr>
          <w:b/>
          <w:sz w:val="32"/>
          <w:szCs w:val="32"/>
        </w:rPr>
        <w:t xml:space="preserve"> Co-op</w:t>
      </w:r>
      <w:r w:rsidRPr="005919D7">
        <w:rPr>
          <w:b/>
          <w:sz w:val="32"/>
          <w:szCs w:val="32"/>
        </w:rPr>
        <w:t>erative</w:t>
      </w:r>
      <w:r w:rsidR="0092468F" w:rsidRPr="005919D7">
        <w:rPr>
          <w:b/>
          <w:sz w:val="32"/>
          <w:szCs w:val="32"/>
        </w:rPr>
        <w:t xml:space="preserve"> </w:t>
      </w:r>
    </w:p>
    <w:p w14:paraId="499F5CD4" w14:textId="77777777" w:rsidR="00EC19A3" w:rsidRPr="0092468F" w:rsidRDefault="00EC19A3" w:rsidP="0092468F">
      <w:pPr>
        <w:jc w:val="center"/>
        <w:rPr>
          <w:b/>
        </w:rPr>
      </w:pPr>
    </w:p>
    <w:p w14:paraId="7AAAC840" w14:textId="221DCEB3" w:rsidR="003010AB" w:rsidRPr="005919D7" w:rsidRDefault="00EC19A3" w:rsidP="0092468F">
      <w:pPr>
        <w:rPr>
          <w:sz w:val="28"/>
          <w:szCs w:val="28"/>
        </w:rPr>
      </w:pPr>
      <w:r w:rsidRPr="005919D7">
        <w:rPr>
          <w:sz w:val="28"/>
          <w:szCs w:val="28"/>
        </w:rPr>
        <w:t xml:space="preserve">Each </w:t>
      </w:r>
      <w:r w:rsidR="001B11C6" w:rsidRPr="005919D7">
        <w:rPr>
          <w:sz w:val="28"/>
          <w:szCs w:val="28"/>
        </w:rPr>
        <w:t xml:space="preserve">member district has purchased </w:t>
      </w:r>
      <w:r w:rsidRPr="005919D7">
        <w:rPr>
          <w:sz w:val="28"/>
          <w:szCs w:val="28"/>
        </w:rPr>
        <w:t>12 hours of technical assistance (TA).  Your TA time can be used at your discretion (</w:t>
      </w:r>
      <w:r w:rsidR="001B11C6" w:rsidRPr="005919D7">
        <w:rPr>
          <w:sz w:val="28"/>
          <w:szCs w:val="28"/>
        </w:rPr>
        <w:t xml:space="preserve">e.g. </w:t>
      </w:r>
      <w:r w:rsidRPr="005919D7">
        <w:rPr>
          <w:sz w:val="28"/>
          <w:szCs w:val="28"/>
        </w:rPr>
        <w:t>on-site, emai</w:t>
      </w:r>
      <w:r w:rsidR="001B11C6" w:rsidRPr="005919D7">
        <w:rPr>
          <w:sz w:val="28"/>
          <w:szCs w:val="28"/>
        </w:rPr>
        <w:t>l, phone).  C</w:t>
      </w:r>
      <w:r w:rsidRPr="005919D7">
        <w:rPr>
          <w:sz w:val="28"/>
          <w:szCs w:val="28"/>
        </w:rPr>
        <w:t>ontractors have planning time built into their contracts in addition to the T</w:t>
      </w:r>
      <w:r w:rsidR="001B11C6" w:rsidRPr="005919D7">
        <w:rPr>
          <w:sz w:val="28"/>
          <w:szCs w:val="28"/>
        </w:rPr>
        <w:t>A time that you have available.</w:t>
      </w:r>
    </w:p>
    <w:p w14:paraId="3CC8BA40" w14:textId="77777777" w:rsidR="003010AB" w:rsidRPr="005919D7" w:rsidRDefault="003010AB" w:rsidP="0092468F">
      <w:pPr>
        <w:rPr>
          <w:b/>
          <w:sz w:val="28"/>
          <w:szCs w:val="28"/>
        </w:rPr>
      </w:pPr>
    </w:p>
    <w:p w14:paraId="346FA8D8" w14:textId="0B375686" w:rsidR="003010AB" w:rsidRPr="005919D7" w:rsidRDefault="0069388D" w:rsidP="003010AB">
      <w:r w:rsidRPr="005919D7">
        <w:rPr>
          <w:b/>
        </w:rPr>
        <w:t>Ways the</w:t>
      </w:r>
      <w:r w:rsidR="001B11C6" w:rsidRPr="005919D7">
        <w:rPr>
          <w:b/>
        </w:rPr>
        <w:t xml:space="preserve"> Contractors</w:t>
      </w:r>
      <w:r w:rsidR="003010AB" w:rsidRPr="005919D7">
        <w:rPr>
          <w:b/>
        </w:rPr>
        <w:t xml:space="preserve"> Can Help You:</w:t>
      </w:r>
    </w:p>
    <w:p w14:paraId="1167C944" w14:textId="7730F414" w:rsidR="00953029" w:rsidRPr="005919D7" w:rsidRDefault="000D0F1C" w:rsidP="0069388D">
      <w:pPr>
        <w:pStyle w:val="ListParagraph"/>
        <w:numPr>
          <w:ilvl w:val="0"/>
          <w:numId w:val="2"/>
        </w:numPr>
      </w:pPr>
      <w:r w:rsidRPr="005919D7">
        <w:t>P</w:t>
      </w:r>
      <w:r w:rsidR="00953029" w:rsidRPr="005919D7">
        <w:t>rogram goals, philosophy, purpose</w:t>
      </w:r>
      <w:r w:rsidRPr="005919D7">
        <w:t xml:space="preserve"> aligned with ID, services, curriculum</w:t>
      </w:r>
    </w:p>
    <w:p w14:paraId="3AAD2F00" w14:textId="2D97EE04" w:rsidR="003010AB" w:rsidRPr="005919D7" w:rsidRDefault="000D0F1C" w:rsidP="0069388D">
      <w:pPr>
        <w:pStyle w:val="ListParagraph"/>
        <w:numPr>
          <w:ilvl w:val="0"/>
          <w:numId w:val="2"/>
        </w:numPr>
      </w:pPr>
      <w:r w:rsidRPr="005919D7">
        <w:t xml:space="preserve">K-12 services menu development based </w:t>
      </w:r>
      <w:r w:rsidR="003010AB" w:rsidRPr="005919D7">
        <w:t>on evidence of efficacy</w:t>
      </w:r>
    </w:p>
    <w:p w14:paraId="1896C1B7" w14:textId="010F196D" w:rsidR="003010AB" w:rsidRPr="005919D7" w:rsidRDefault="003010AB" w:rsidP="0069388D">
      <w:pPr>
        <w:pStyle w:val="ListParagraph"/>
        <w:numPr>
          <w:ilvl w:val="0"/>
          <w:numId w:val="2"/>
        </w:numPr>
      </w:pPr>
      <w:r w:rsidRPr="005919D7">
        <w:t>Identification</w:t>
      </w:r>
      <w:r w:rsidR="001B11C6" w:rsidRPr="005919D7">
        <w:t xml:space="preserve"> procedures and forms</w:t>
      </w:r>
      <w:r w:rsidRPr="005919D7">
        <w:t xml:space="preserve"> aligned with WACs</w:t>
      </w:r>
    </w:p>
    <w:p w14:paraId="54BDD128" w14:textId="59642454" w:rsidR="003010AB" w:rsidRPr="005919D7" w:rsidRDefault="00953029" w:rsidP="0069388D">
      <w:pPr>
        <w:pStyle w:val="ListParagraph"/>
        <w:numPr>
          <w:ilvl w:val="0"/>
          <w:numId w:val="2"/>
        </w:numPr>
      </w:pPr>
      <w:r w:rsidRPr="005919D7">
        <w:t>Acceleration methods and models</w:t>
      </w:r>
    </w:p>
    <w:p w14:paraId="5AE341F4" w14:textId="7FA00CC0" w:rsidR="003010AB" w:rsidRPr="005919D7" w:rsidRDefault="00953029" w:rsidP="0069388D">
      <w:pPr>
        <w:pStyle w:val="ListParagraph"/>
        <w:numPr>
          <w:ilvl w:val="0"/>
          <w:numId w:val="2"/>
        </w:numPr>
      </w:pPr>
      <w:r w:rsidRPr="005919D7">
        <w:t>Principles</w:t>
      </w:r>
      <w:r w:rsidR="000D0F1C" w:rsidRPr="005919D7">
        <w:t xml:space="preserve"> and models</w:t>
      </w:r>
      <w:r w:rsidR="001B11C6" w:rsidRPr="005919D7">
        <w:t xml:space="preserve"> of best practices </w:t>
      </w:r>
      <w:r w:rsidR="005641B4" w:rsidRPr="005919D7">
        <w:t xml:space="preserve">for </w:t>
      </w:r>
      <w:r w:rsidR="001B11C6" w:rsidRPr="005919D7">
        <w:t>e</w:t>
      </w:r>
      <w:r w:rsidRPr="005919D7">
        <w:t>ffect</w:t>
      </w:r>
      <w:r w:rsidR="000D0F1C" w:rsidRPr="005919D7">
        <w:t>ive curriculum and</w:t>
      </w:r>
      <w:r w:rsidR="001B11C6" w:rsidRPr="005919D7">
        <w:t xml:space="preserve"> instruction</w:t>
      </w:r>
    </w:p>
    <w:p w14:paraId="6D7A7F47" w14:textId="2000D5F5" w:rsidR="000D0F1C" w:rsidRPr="005919D7" w:rsidRDefault="003010AB" w:rsidP="0069388D">
      <w:pPr>
        <w:pStyle w:val="ListParagraph"/>
        <w:numPr>
          <w:ilvl w:val="0"/>
          <w:numId w:val="2"/>
        </w:numPr>
      </w:pPr>
      <w:r w:rsidRPr="005919D7">
        <w:t>Learning Plan development/measuring student growth</w:t>
      </w:r>
    </w:p>
    <w:p w14:paraId="2048345B" w14:textId="5425F66B" w:rsidR="001B11C6" w:rsidRPr="005919D7" w:rsidRDefault="001B11C6" w:rsidP="0069388D">
      <w:pPr>
        <w:pStyle w:val="ListParagraph"/>
        <w:numPr>
          <w:ilvl w:val="0"/>
          <w:numId w:val="2"/>
        </w:numPr>
      </w:pPr>
      <w:r w:rsidRPr="005919D7">
        <w:t>Program evaluation</w:t>
      </w:r>
    </w:p>
    <w:p w14:paraId="3BCF8632" w14:textId="5C90D5F7" w:rsidR="0092468F" w:rsidRDefault="000D0F1C" w:rsidP="0069388D">
      <w:pPr>
        <w:pStyle w:val="ListParagraph"/>
        <w:numPr>
          <w:ilvl w:val="0"/>
          <w:numId w:val="2"/>
        </w:numPr>
      </w:pPr>
      <w:r w:rsidRPr="005919D7">
        <w:t>Social-Emotional needs of the Hi-Cap learner</w:t>
      </w:r>
      <w:r w:rsidR="0092468F" w:rsidRPr="005919D7">
        <w:rPr>
          <w:sz w:val="28"/>
          <w:szCs w:val="28"/>
        </w:rPr>
        <w:tab/>
      </w:r>
      <w:r w:rsidR="0092468F" w:rsidRPr="005919D7">
        <w:rPr>
          <w:sz w:val="28"/>
          <w:szCs w:val="28"/>
        </w:rPr>
        <w:tab/>
      </w:r>
      <w:r w:rsidR="005919D7">
        <w:tab/>
      </w:r>
      <w:r w:rsidR="005919D7">
        <w:tab/>
      </w:r>
      <w:r w:rsidR="0092468F">
        <w:tab/>
      </w:r>
      <w:r w:rsidR="0092468F">
        <w:tab/>
      </w:r>
    </w:p>
    <w:p w14:paraId="235C051B" w14:textId="77777777" w:rsidR="0092468F" w:rsidRDefault="0092468F" w:rsidP="0092468F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68F" w14:paraId="0DF58417" w14:textId="77777777" w:rsidTr="005919D7">
        <w:tc>
          <w:tcPr>
            <w:tcW w:w="4428" w:type="dxa"/>
            <w:shd w:val="clear" w:color="auto" w:fill="E6E6E6"/>
          </w:tcPr>
          <w:p w14:paraId="1C3CA797" w14:textId="77777777" w:rsidR="0092468F" w:rsidRPr="00C90DC2" w:rsidRDefault="0092468F" w:rsidP="00C90DC2">
            <w:pPr>
              <w:jc w:val="center"/>
              <w:rPr>
                <w:b/>
                <w:sz w:val="28"/>
                <w:szCs w:val="28"/>
              </w:rPr>
            </w:pPr>
            <w:r w:rsidRPr="00C90DC2">
              <w:rPr>
                <w:b/>
                <w:sz w:val="28"/>
                <w:szCs w:val="28"/>
              </w:rPr>
              <w:t>CONTRACTORS</w:t>
            </w:r>
          </w:p>
        </w:tc>
        <w:tc>
          <w:tcPr>
            <w:tcW w:w="4428" w:type="dxa"/>
            <w:shd w:val="clear" w:color="auto" w:fill="E6E6E6"/>
          </w:tcPr>
          <w:p w14:paraId="5DF609F8" w14:textId="307A4C47" w:rsidR="00C90DC2" w:rsidRDefault="0078707E" w:rsidP="00C90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DISTRICTS--</w:t>
            </w:r>
            <w:r w:rsidR="0092468F" w:rsidRPr="00C90DC2">
              <w:rPr>
                <w:b/>
                <w:sz w:val="28"/>
                <w:szCs w:val="28"/>
              </w:rPr>
              <w:t xml:space="preserve"> </w:t>
            </w:r>
          </w:p>
          <w:p w14:paraId="42E95F30" w14:textId="5FB673B1" w:rsidR="0069388D" w:rsidRPr="00C90DC2" w:rsidRDefault="0078707E" w:rsidP="00591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G</w:t>
            </w:r>
            <w:r w:rsidR="0092468F" w:rsidRPr="00C90DC2">
              <w:rPr>
                <w:b/>
                <w:sz w:val="28"/>
                <w:szCs w:val="28"/>
              </w:rPr>
              <w:t>eographically</w:t>
            </w:r>
            <w:r w:rsidR="0069388D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92468F" w14:paraId="5F273B30" w14:textId="77777777" w:rsidTr="005919D7">
        <w:tc>
          <w:tcPr>
            <w:tcW w:w="4428" w:type="dxa"/>
            <w:shd w:val="clear" w:color="auto" w:fill="auto"/>
          </w:tcPr>
          <w:p w14:paraId="3856311B" w14:textId="0C0EC727" w:rsidR="0092468F" w:rsidRPr="00953029" w:rsidRDefault="0077368B" w:rsidP="00924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Todd Christensen</w:t>
            </w:r>
          </w:p>
          <w:p w14:paraId="7A222AFF" w14:textId="39FB6EAD" w:rsidR="00E45C7D" w:rsidRPr="00E45C7D" w:rsidRDefault="00FE18C9" w:rsidP="0092468F">
            <w:hyperlink r:id="rId6" w:history="1">
              <w:r w:rsidR="00E45C7D" w:rsidRPr="00E45C7D">
                <w:rPr>
                  <w:rStyle w:val="Hyperlink"/>
                  <w:u w:val="none"/>
                </w:rPr>
                <w:t>Todd_christensen@msvl.k12.wa.us</w:t>
              </w:r>
            </w:hyperlink>
          </w:p>
          <w:p w14:paraId="4FA35FD4" w14:textId="77777777" w:rsidR="00C90DC2" w:rsidRDefault="00E45C7D" w:rsidP="0092468F">
            <w:r>
              <w:t>Lynnwood</w:t>
            </w:r>
          </w:p>
          <w:p w14:paraId="7DD1BCAF" w14:textId="2F1FA310" w:rsidR="00E45C7D" w:rsidRDefault="00E45C7D" w:rsidP="0092468F">
            <w:r>
              <w:t>425-330-3940</w:t>
            </w:r>
          </w:p>
          <w:p w14:paraId="4F6D9A0F" w14:textId="77777777" w:rsidR="005919D7" w:rsidRDefault="005919D7" w:rsidP="0092468F"/>
          <w:p w14:paraId="6BBF6B1C" w14:textId="77777777" w:rsidR="0077368B" w:rsidRPr="005919D7" w:rsidRDefault="00E45C7D" w:rsidP="0092468F">
            <w:pPr>
              <w:rPr>
                <w:b/>
                <w:sz w:val="22"/>
                <w:szCs w:val="22"/>
              </w:rPr>
            </w:pPr>
            <w:r w:rsidRPr="005919D7">
              <w:rPr>
                <w:b/>
                <w:sz w:val="22"/>
                <w:szCs w:val="22"/>
              </w:rPr>
              <w:t>CREDENTIALS</w:t>
            </w:r>
          </w:p>
          <w:p w14:paraId="3CFF4DD5" w14:textId="6C9FF52C" w:rsidR="00E45C7D" w:rsidRPr="00E45C7D" w:rsidRDefault="00E45C7D" w:rsidP="0092468F">
            <w:pPr>
              <w:rPr>
                <w:sz w:val="20"/>
                <w:szCs w:val="20"/>
              </w:rPr>
            </w:pPr>
            <w:r w:rsidRPr="00E45C7D">
              <w:rPr>
                <w:sz w:val="20"/>
                <w:szCs w:val="20"/>
              </w:rPr>
              <w:t>MA  Elementary Education, WWU</w:t>
            </w:r>
            <w:r w:rsidR="00033B5C">
              <w:rPr>
                <w:sz w:val="20"/>
                <w:szCs w:val="20"/>
              </w:rPr>
              <w:t>, 1977</w:t>
            </w:r>
          </w:p>
          <w:p w14:paraId="73FFCF36" w14:textId="4F8D7B84" w:rsidR="00E45C7D" w:rsidRDefault="00E45C7D" w:rsidP="0092468F">
            <w:pPr>
              <w:rPr>
                <w:sz w:val="20"/>
                <w:szCs w:val="20"/>
              </w:rPr>
            </w:pPr>
            <w:r w:rsidRPr="00E45C7D">
              <w:rPr>
                <w:sz w:val="20"/>
                <w:szCs w:val="20"/>
              </w:rPr>
              <w:t>Ed.D.  Curriculum &amp; Instruction, Gifted Education, UW</w:t>
            </w:r>
            <w:r w:rsidR="00033B5C">
              <w:rPr>
                <w:sz w:val="20"/>
                <w:szCs w:val="20"/>
              </w:rPr>
              <w:t>, 1988</w:t>
            </w:r>
          </w:p>
          <w:p w14:paraId="47542AFE" w14:textId="77777777" w:rsidR="005919D7" w:rsidRPr="00E45C7D" w:rsidRDefault="005919D7" w:rsidP="0092468F">
            <w:pPr>
              <w:rPr>
                <w:sz w:val="20"/>
                <w:szCs w:val="20"/>
              </w:rPr>
            </w:pPr>
          </w:p>
          <w:p w14:paraId="622AAE3B" w14:textId="587AF298" w:rsidR="00E45C7D" w:rsidRDefault="00E45C7D" w:rsidP="0092468F">
            <w:pPr>
              <w:rPr>
                <w:sz w:val="20"/>
                <w:szCs w:val="20"/>
              </w:rPr>
            </w:pPr>
            <w:r w:rsidRPr="00E45C7D">
              <w:rPr>
                <w:sz w:val="20"/>
                <w:szCs w:val="20"/>
              </w:rPr>
              <w:t>Teache</w:t>
            </w:r>
            <w:r>
              <w:rPr>
                <w:sz w:val="20"/>
                <w:szCs w:val="20"/>
              </w:rPr>
              <w:t>r</w:t>
            </w:r>
            <w:r w:rsidR="00033B5C">
              <w:rPr>
                <w:sz w:val="20"/>
                <w:szCs w:val="20"/>
              </w:rPr>
              <w:t>, Highly Capable Program, 1979 – 1988</w:t>
            </w:r>
          </w:p>
          <w:p w14:paraId="7A38C957" w14:textId="62BB1D87" w:rsidR="00033B5C" w:rsidRDefault="00033B5C" w:rsidP="0092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Highly Capable Program, 1988 – 1992</w:t>
            </w:r>
          </w:p>
          <w:p w14:paraId="1EC1D9C6" w14:textId="7FE03EC9" w:rsidR="00033B5C" w:rsidRDefault="00033B5C" w:rsidP="0092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Principal, K – 8 Alternative Ed. Program, 1992 –1998</w:t>
            </w:r>
          </w:p>
          <w:p w14:paraId="3BAB1EB8" w14:textId="492F4F54" w:rsidR="00033B5C" w:rsidRDefault="00033B5C" w:rsidP="0092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Principal, K -12 Alternative Ed. Program, 1998 – 2007</w:t>
            </w:r>
          </w:p>
          <w:p w14:paraId="37031379" w14:textId="09AA9965" w:rsidR="00033B5C" w:rsidRDefault="00033B5C" w:rsidP="0092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Principal, 2007 – 2009</w:t>
            </w:r>
          </w:p>
          <w:p w14:paraId="2B17514D" w14:textId="0BFDF6F0" w:rsidR="00033B5C" w:rsidRDefault="00033B5C" w:rsidP="0092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Director, Highly Capable Program, 2009 </w:t>
            </w:r>
            <w:r w:rsidR="00680C0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2015</w:t>
            </w:r>
          </w:p>
          <w:p w14:paraId="758127E3" w14:textId="28BDFF0C" w:rsidR="00680C0F" w:rsidRDefault="00680C0F" w:rsidP="0092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of the State Gifted Education Advisory Committee, 2014 </w:t>
            </w:r>
            <w:r w:rsidR="005919D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Present</w:t>
            </w:r>
          </w:p>
          <w:p w14:paraId="6053EE23" w14:textId="28F70A63" w:rsidR="005919D7" w:rsidRPr="00E45C7D" w:rsidRDefault="005919D7" w:rsidP="0092468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112A1BA6" w14:textId="77777777" w:rsidR="0069388D" w:rsidRDefault="0069388D" w:rsidP="0069388D">
            <w:pPr>
              <w:jc w:val="center"/>
              <w:rPr>
                <w:sz w:val="28"/>
                <w:szCs w:val="28"/>
              </w:rPr>
            </w:pPr>
          </w:p>
          <w:p w14:paraId="0CF2F1FF" w14:textId="77777777" w:rsidR="005919D7" w:rsidRDefault="005919D7" w:rsidP="0069388D">
            <w:pPr>
              <w:jc w:val="center"/>
              <w:rPr>
                <w:sz w:val="28"/>
                <w:szCs w:val="28"/>
              </w:rPr>
            </w:pPr>
          </w:p>
          <w:p w14:paraId="0D3E9DD9" w14:textId="021BCBA4" w:rsidR="0078707E" w:rsidRPr="005919D7" w:rsidRDefault="0078707E" w:rsidP="00CA2AD1">
            <w:pPr>
              <w:rPr>
                <w:sz w:val="32"/>
                <w:szCs w:val="32"/>
              </w:rPr>
            </w:pPr>
          </w:p>
          <w:p w14:paraId="0EE3A184" w14:textId="77777777" w:rsidR="0092468F" w:rsidRPr="005919D7" w:rsidRDefault="00C90DC2" w:rsidP="0069388D">
            <w:pPr>
              <w:jc w:val="center"/>
              <w:rPr>
                <w:sz w:val="32"/>
                <w:szCs w:val="32"/>
              </w:rPr>
            </w:pPr>
            <w:proofErr w:type="spellStart"/>
            <w:r w:rsidRPr="005919D7">
              <w:rPr>
                <w:sz w:val="32"/>
                <w:szCs w:val="32"/>
              </w:rPr>
              <w:t>Darrington</w:t>
            </w:r>
            <w:proofErr w:type="spellEnd"/>
          </w:p>
          <w:p w14:paraId="4DB7EE8A" w14:textId="77777777" w:rsidR="00C90DC2" w:rsidRPr="005919D7" w:rsidRDefault="00C90DC2" w:rsidP="0069388D">
            <w:pPr>
              <w:jc w:val="center"/>
              <w:rPr>
                <w:sz w:val="32"/>
                <w:szCs w:val="32"/>
              </w:rPr>
            </w:pPr>
            <w:r w:rsidRPr="005919D7">
              <w:rPr>
                <w:sz w:val="32"/>
                <w:szCs w:val="32"/>
              </w:rPr>
              <w:t>Granite Falls</w:t>
            </w:r>
          </w:p>
          <w:p w14:paraId="2446F6B5" w14:textId="77777777" w:rsidR="00C90DC2" w:rsidRPr="005919D7" w:rsidRDefault="00C90DC2" w:rsidP="0069388D">
            <w:pPr>
              <w:jc w:val="center"/>
              <w:rPr>
                <w:sz w:val="32"/>
                <w:szCs w:val="32"/>
              </w:rPr>
            </w:pPr>
            <w:r w:rsidRPr="005919D7">
              <w:rPr>
                <w:sz w:val="32"/>
                <w:szCs w:val="32"/>
              </w:rPr>
              <w:t>Marysville</w:t>
            </w:r>
          </w:p>
          <w:p w14:paraId="517337AC" w14:textId="77777777" w:rsidR="00C90DC2" w:rsidRPr="005919D7" w:rsidRDefault="00C90DC2" w:rsidP="0069388D">
            <w:pPr>
              <w:jc w:val="center"/>
              <w:rPr>
                <w:sz w:val="32"/>
                <w:szCs w:val="32"/>
              </w:rPr>
            </w:pPr>
            <w:r w:rsidRPr="005919D7">
              <w:rPr>
                <w:sz w:val="32"/>
                <w:szCs w:val="32"/>
              </w:rPr>
              <w:t>Monroe</w:t>
            </w:r>
          </w:p>
          <w:p w14:paraId="4C2BAAFC" w14:textId="77777777" w:rsidR="00C90DC2" w:rsidRDefault="00C90DC2" w:rsidP="0069388D">
            <w:pPr>
              <w:jc w:val="center"/>
              <w:rPr>
                <w:sz w:val="32"/>
                <w:szCs w:val="32"/>
              </w:rPr>
            </w:pPr>
            <w:r w:rsidRPr="005919D7">
              <w:rPr>
                <w:sz w:val="32"/>
                <w:szCs w:val="32"/>
              </w:rPr>
              <w:t>Mount Vernon</w:t>
            </w:r>
          </w:p>
          <w:p w14:paraId="7F60065A" w14:textId="7E36B633" w:rsidR="00CA2AD1" w:rsidRPr="005919D7" w:rsidRDefault="00CA2AD1" w:rsidP="006938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Oak </w:t>
            </w:r>
            <w:r w:rsidR="00782129">
              <w:rPr>
                <w:sz w:val="32"/>
                <w:szCs w:val="32"/>
              </w:rPr>
              <w:t>Harbor</w:t>
            </w:r>
          </w:p>
          <w:p w14:paraId="7F91A313" w14:textId="77777777" w:rsidR="00C90DC2" w:rsidRPr="005919D7" w:rsidRDefault="00C90DC2" w:rsidP="0069388D">
            <w:pPr>
              <w:jc w:val="center"/>
              <w:rPr>
                <w:sz w:val="32"/>
                <w:szCs w:val="32"/>
              </w:rPr>
            </w:pPr>
            <w:r w:rsidRPr="005919D7">
              <w:rPr>
                <w:sz w:val="32"/>
                <w:szCs w:val="32"/>
              </w:rPr>
              <w:t>Sultan</w:t>
            </w:r>
          </w:p>
          <w:p w14:paraId="424B55CC" w14:textId="77777777" w:rsidR="0069388D" w:rsidRDefault="0069388D" w:rsidP="0069388D">
            <w:pPr>
              <w:jc w:val="center"/>
            </w:pPr>
          </w:p>
        </w:tc>
      </w:tr>
      <w:tr w:rsidR="005919D7" w14:paraId="28B2544B" w14:textId="77777777" w:rsidTr="005919D7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39B3E" w14:textId="053DC7E4" w:rsidR="005919D7" w:rsidRDefault="005919D7" w:rsidP="00924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1B11C6">
              <w:rPr>
                <w:b/>
                <w:sz w:val="20"/>
                <w:szCs w:val="20"/>
              </w:rPr>
              <w:t>PECIAL AREAS OF EXPERTISE</w:t>
            </w:r>
          </w:p>
          <w:p w14:paraId="5CC789B1" w14:textId="1DCDDA90" w:rsidR="005919D7" w:rsidRDefault="005919D7" w:rsidP="0092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Capable Program Design &amp; Development               Program Evaluation</w:t>
            </w:r>
          </w:p>
          <w:p w14:paraId="6DFA21EA" w14:textId="7D46797C" w:rsidR="005919D7" w:rsidRDefault="005919D7" w:rsidP="0092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Identification of Highly Capable Students                            Creative Thinking Skills      </w:t>
            </w:r>
          </w:p>
          <w:p w14:paraId="2FF40D50" w14:textId="13AF8C93" w:rsidR="005919D7" w:rsidRDefault="005919D7" w:rsidP="0092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for teachers                                 State and National Networking</w:t>
            </w:r>
          </w:p>
          <w:p w14:paraId="40AF80EB" w14:textId="77777777" w:rsidR="005919D7" w:rsidRDefault="005919D7" w:rsidP="0092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administration                                                             Parent Support organizations</w:t>
            </w:r>
          </w:p>
          <w:p w14:paraId="47B72D4A" w14:textId="77777777" w:rsidR="00FE18C9" w:rsidRDefault="00FE18C9" w:rsidP="0092468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09C5695" w14:textId="6D05F9E5" w:rsidR="005919D7" w:rsidRPr="00680C0F" w:rsidRDefault="005919D7" w:rsidP="0092468F">
            <w:pPr>
              <w:rPr>
                <w:sz w:val="20"/>
                <w:szCs w:val="20"/>
              </w:rPr>
            </w:pPr>
          </w:p>
        </w:tc>
      </w:tr>
      <w:tr w:rsidR="00661E34" w14:paraId="4E48A169" w14:textId="77777777" w:rsidTr="005919D7">
        <w:tc>
          <w:tcPr>
            <w:tcW w:w="4428" w:type="dxa"/>
            <w:shd w:val="clear" w:color="auto" w:fill="E6E6E6"/>
          </w:tcPr>
          <w:p w14:paraId="638ACF80" w14:textId="1BEE4169" w:rsidR="00661E34" w:rsidRPr="005919D7" w:rsidRDefault="005919D7" w:rsidP="005919D7">
            <w:pPr>
              <w:jc w:val="center"/>
              <w:rPr>
                <w:b/>
                <w:sz w:val="28"/>
                <w:szCs w:val="28"/>
              </w:rPr>
            </w:pPr>
            <w:r w:rsidRPr="005919D7">
              <w:rPr>
                <w:b/>
                <w:sz w:val="28"/>
                <w:szCs w:val="28"/>
              </w:rPr>
              <w:lastRenderedPageBreak/>
              <w:t>CONTRACTORS</w:t>
            </w:r>
          </w:p>
        </w:tc>
        <w:tc>
          <w:tcPr>
            <w:tcW w:w="4428" w:type="dxa"/>
            <w:shd w:val="clear" w:color="auto" w:fill="E6E6E6"/>
          </w:tcPr>
          <w:p w14:paraId="7F68A849" w14:textId="00D5FF07" w:rsidR="00661E34" w:rsidRPr="005919D7" w:rsidRDefault="005919D7" w:rsidP="005919D7">
            <w:pPr>
              <w:jc w:val="center"/>
              <w:rPr>
                <w:b/>
                <w:sz w:val="28"/>
                <w:szCs w:val="28"/>
              </w:rPr>
            </w:pPr>
            <w:r w:rsidRPr="005919D7">
              <w:rPr>
                <w:b/>
                <w:sz w:val="28"/>
                <w:szCs w:val="28"/>
              </w:rPr>
              <w:t>DISTRICTS—</w:t>
            </w:r>
          </w:p>
          <w:p w14:paraId="5F475304" w14:textId="49F3D63A" w:rsidR="005919D7" w:rsidRPr="005919D7" w:rsidRDefault="005919D7" w:rsidP="005919D7">
            <w:pPr>
              <w:jc w:val="center"/>
              <w:rPr>
                <w:b/>
                <w:sz w:val="28"/>
                <w:szCs w:val="28"/>
              </w:rPr>
            </w:pPr>
            <w:r w:rsidRPr="005919D7">
              <w:rPr>
                <w:b/>
                <w:sz w:val="28"/>
                <w:szCs w:val="28"/>
              </w:rPr>
              <w:t>Assigned Geographically*</w:t>
            </w:r>
          </w:p>
        </w:tc>
      </w:tr>
      <w:tr w:rsidR="00661E34" w14:paraId="6FCEB4B3" w14:textId="77777777" w:rsidTr="005919D7">
        <w:tc>
          <w:tcPr>
            <w:tcW w:w="4428" w:type="dxa"/>
            <w:shd w:val="clear" w:color="auto" w:fill="auto"/>
          </w:tcPr>
          <w:p w14:paraId="57802F4F" w14:textId="6D0CEC82" w:rsidR="00661E34" w:rsidRPr="00953029" w:rsidRDefault="00661E34" w:rsidP="00661E34">
            <w:pPr>
              <w:rPr>
                <w:b/>
                <w:sz w:val="28"/>
                <w:szCs w:val="28"/>
              </w:rPr>
            </w:pPr>
            <w:r w:rsidRPr="00953029">
              <w:rPr>
                <w:b/>
                <w:sz w:val="28"/>
                <w:szCs w:val="28"/>
              </w:rPr>
              <w:t>Jan Bonzon</w:t>
            </w:r>
          </w:p>
          <w:p w14:paraId="6BA3D093" w14:textId="77777777" w:rsidR="00661E34" w:rsidRDefault="00FE18C9" w:rsidP="00661E34">
            <w:hyperlink r:id="rId7" w:history="1">
              <w:r w:rsidR="00661E34" w:rsidRPr="004132B7">
                <w:rPr>
                  <w:rStyle w:val="Hyperlink"/>
                </w:rPr>
                <w:t>janbonzon@yahoo.com</w:t>
              </w:r>
            </w:hyperlink>
          </w:p>
          <w:p w14:paraId="0685804E" w14:textId="77777777" w:rsidR="00661E34" w:rsidRDefault="00661E34" w:rsidP="00661E34">
            <w:r>
              <w:t>Anacortes</w:t>
            </w:r>
          </w:p>
          <w:p w14:paraId="4A97EF33" w14:textId="77777777" w:rsidR="00661E34" w:rsidRDefault="00661E34" w:rsidP="00661E34">
            <w:r>
              <w:t>270-312-7331</w:t>
            </w:r>
          </w:p>
          <w:p w14:paraId="41C06094" w14:textId="77777777" w:rsidR="00661E34" w:rsidRDefault="00661E34" w:rsidP="00661E34"/>
          <w:p w14:paraId="0C45DA92" w14:textId="77777777" w:rsidR="00661E34" w:rsidRPr="005919D7" w:rsidRDefault="00661E34" w:rsidP="00661E34">
            <w:pPr>
              <w:rPr>
                <w:b/>
                <w:sz w:val="22"/>
                <w:szCs w:val="22"/>
              </w:rPr>
            </w:pPr>
            <w:r w:rsidRPr="005919D7">
              <w:rPr>
                <w:b/>
                <w:sz w:val="22"/>
                <w:szCs w:val="22"/>
              </w:rPr>
              <w:t>CREDENTIALS</w:t>
            </w:r>
          </w:p>
          <w:p w14:paraId="6EDECD7B" w14:textId="77777777" w:rsidR="00661E34" w:rsidRPr="003010AB" w:rsidRDefault="00661E34" w:rsidP="00661E34">
            <w:pPr>
              <w:rPr>
                <w:sz w:val="20"/>
                <w:szCs w:val="20"/>
              </w:rPr>
            </w:pPr>
            <w:r w:rsidRPr="003010AB">
              <w:rPr>
                <w:sz w:val="20"/>
                <w:szCs w:val="20"/>
              </w:rPr>
              <w:t>MA Gifted Education, Univ. of Denver</w:t>
            </w:r>
            <w:r>
              <w:rPr>
                <w:sz w:val="20"/>
                <w:szCs w:val="20"/>
              </w:rPr>
              <w:t>, 1983</w:t>
            </w:r>
          </w:p>
          <w:p w14:paraId="747DDB98" w14:textId="77777777" w:rsidR="00661E34" w:rsidRDefault="00661E34" w:rsidP="00661E34">
            <w:pPr>
              <w:rPr>
                <w:sz w:val="20"/>
                <w:szCs w:val="20"/>
              </w:rPr>
            </w:pPr>
            <w:r w:rsidRPr="003010AB">
              <w:rPr>
                <w:sz w:val="20"/>
                <w:szCs w:val="20"/>
              </w:rPr>
              <w:t xml:space="preserve">Ed. </w:t>
            </w:r>
            <w:proofErr w:type="spellStart"/>
            <w:r w:rsidRPr="003010AB">
              <w:rPr>
                <w:sz w:val="20"/>
                <w:szCs w:val="20"/>
              </w:rPr>
              <w:t>Ldshp</w:t>
            </w:r>
            <w:proofErr w:type="spellEnd"/>
            <w:r w:rsidRPr="003010AB">
              <w:rPr>
                <w:sz w:val="20"/>
                <w:szCs w:val="20"/>
              </w:rPr>
              <w:t>, Danforth Program, UW</w:t>
            </w:r>
            <w:r>
              <w:rPr>
                <w:sz w:val="20"/>
                <w:szCs w:val="20"/>
              </w:rPr>
              <w:t>, 1994</w:t>
            </w:r>
          </w:p>
          <w:p w14:paraId="1B5E566C" w14:textId="77777777" w:rsidR="00661E34" w:rsidRPr="003010AB" w:rsidRDefault="00661E34" w:rsidP="0066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Doctoral Study, </w:t>
            </w:r>
            <w:proofErr w:type="spellStart"/>
            <w:r>
              <w:rPr>
                <w:sz w:val="20"/>
                <w:szCs w:val="20"/>
              </w:rPr>
              <w:t>Curric</w:t>
            </w:r>
            <w:proofErr w:type="spellEnd"/>
            <w:r>
              <w:rPr>
                <w:sz w:val="20"/>
                <w:szCs w:val="20"/>
              </w:rPr>
              <w:t>, Theory, Simon Fraser</w:t>
            </w:r>
          </w:p>
          <w:p w14:paraId="0D263EFC" w14:textId="77777777" w:rsidR="00661E34" w:rsidRPr="003010AB" w:rsidRDefault="00661E34" w:rsidP="00661E34">
            <w:pPr>
              <w:rPr>
                <w:sz w:val="20"/>
                <w:szCs w:val="20"/>
              </w:rPr>
            </w:pPr>
          </w:p>
          <w:p w14:paraId="0F4B038B" w14:textId="77777777" w:rsidR="00661E34" w:rsidRPr="003010AB" w:rsidRDefault="00661E34" w:rsidP="0066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Teacher, </w:t>
            </w:r>
            <w:r w:rsidRPr="003010AB">
              <w:rPr>
                <w:sz w:val="20"/>
                <w:szCs w:val="20"/>
              </w:rPr>
              <w:t>Theatre Arts</w:t>
            </w:r>
            <w:r>
              <w:rPr>
                <w:sz w:val="20"/>
                <w:szCs w:val="20"/>
              </w:rPr>
              <w:t>, Adv. English, 1975-83</w:t>
            </w:r>
          </w:p>
          <w:p w14:paraId="4BD3B59A" w14:textId="1AF13D41" w:rsidR="00661E34" w:rsidRPr="003010AB" w:rsidRDefault="002924B5" w:rsidP="00661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61E34">
              <w:rPr>
                <w:sz w:val="20"/>
                <w:szCs w:val="20"/>
              </w:rPr>
              <w:t xml:space="preserve">, Highly </w:t>
            </w:r>
            <w:r w:rsidR="00661E34" w:rsidRPr="003010AB">
              <w:rPr>
                <w:sz w:val="20"/>
                <w:szCs w:val="20"/>
              </w:rPr>
              <w:t>Cap</w:t>
            </w:r>
            <w:r w:rsidR="00661E34">
              <w:rPr>
                <w:sz w:val="20"/>
                <w:szCs w:val="20"/>
              </w:rPr>
              <w:t>able Programs, 1983-2002</w:t>
            </w:r>
          </w:p>
          <w:p w14:paraId="13EAA113" w14:textId="77777777" w:rsidR="00661E34" w:rsidRPr="003010AB" w:rsidRDefault="00661E34" w:rsidP="00661E34">
            <w:pPr>
              <w:rPr>
                <w:sz w:val="20"/>
                <w:szCs w:val="20"/>
              </w:rPr>
            </w:pPr>
            <w:r w:rsidRPr="003010AB">
              <w:rPr>
                <w:sz w:val="20"/>
                <w:szCs w:val="20"/>
              </w:rPr>
              <w:t>Resource Teacher</w:t>
            </w:r>
            <w:r>
              <w:rPr>
                <w:sz w:val="20"/>
                <w:szCs w:val="20"/>
              </w:rPr>
              <w:t>, Highly Capable, 1983-2013</w:t>
            </w:r>
          </w:p>
          <w:p w14:paraId="2B321E5C" w14:textId="77777777" w:rsidR="00661E34" w:rsidRDefault="00661E34" w:rsidP="0066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Elem. Principal/Asst. </w:t>
            </w:r>
            <w:proofErr w:type="spellStart"/>
            <w:r>
              <w:rPr>
                <w:sz w:val="20"/>
                <w:szCs w:val="20"/>
              </w:rPr>
              <w:t>Princ</w:t>
            </w:r>
            <w:proofErr w:type="spellEnd"/>
            <w:r>
              <w:rPr>
                <w:sz w:val="20"/>
                <w:szCs w:val="20"/>
              </w:rPr>
              <w:t>. 1994-97, 2009-11</w:t>
            </w:r>
          </w:p>
          <w:p w14:paraId="3CC37BB3" w14:textId="0AEAFBFB" w:rsidR="00661E34" w:rsidRDefault="00661E34" w:rsidP="00661E34">
            <w:pPr>
              <w:rPr>
                <w:sz w:val="20"/>
                <w:szCs w:val="20"/>
              </w:rPr>
            </w:pPr>
            <w:r w:rsidRPr="003010AB">
              <w:rPr>
                <w:sz w:val="20"/>
                <w:szCs w:val="20"/>
              </w:rPr>
              <w:t>OSPI Statewide Trainer--Critical and Creative Thinking</w:t>
            </w:r>
            <w:r w:rsidR="002924B5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Curriculum Dev., 1993-2000</w:t>
            </w:r>
          </w:p>
          <w:p w14:paraId="3AFA21D8" w14:textId="77777777" w:rsidR="00661E34" w:rsidRDefault="00661E34" w:rsidP="0092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Member, Oregon State Gifted Education Council, 1983-86.</w:t>
            </w:r>
          </w:p>
          <w:p w14:paraId="7F459A53" w14:textId="326D586C" w:rsidR="009F7BCE" w:rsidRPr="001B11C6" w:rsidRDefault="009F7BCE" w:rsidP="0092468F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27E5EB45" w14:textId="77777777" w:rsidR="00661E34" w:rsidRDefault="00661E34" w:rsidP="00661E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6E3E24D" w14:textId="77777777" w:rsidR="005919D7" w:rsidRDefault="005919D7" w:rsidP="00661E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7F8D35" w14:textId="77777777" w:rsidR="00661E34" w:rsidRPr="005919D7" w:rsidRDefault="00661E34" w:rsidP="00661E3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19D7">
              <w:rPr>
                <w:sz w:val="32"/>
                <w:szCs w:val="32"/>
              </w:rPr>
              <w:t>Anacortes</w:t>
            </w:r>
          </w:p>
          <w:p w14:paraId="4A590D9C" w14:textId="77777777" w:rsidR="00661E34" w:rsidRPr="005919D7" w:rsidRDefault="00661E34" w:rsidP="00661E3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19D7">
              <w:rPr>
                <w:sz w:val="32"/>
                <w:szCs w:val="32"/>
              </w:rPr>
              <w:t>Bellingham</w:t>
            </w:r>
          </w:p>
          <w:p w14:paraId="556BEDF7" w14:textId="77777777" w:rsidR="00661E34" w:rsidRDefault="00661E34" w:rsidP="00661E3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19D7">
              <w:rPr>
                <w:sz w:val="32"/>
                <w:szCs w:val="32"/>
              </w:rPr>
              <w:t>Burlington</w:t>
            </w:r>
          </w:p>
          <w:p w14:paraId="51D329FE" w14:textId="2CFED7CE" w:rsidR="002312A1" w:rsidRPr="005919D7" w:rsidRDefault="002312A1" w:rsidP="00661E3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Conway</w:t>
            </w:r>
          </w:p>
          <w:p w14:paraId="289503D5" w14:textId="77777777" w:rsidR="00661E34" w:rsidRPr="005919D7" w:rsidRDefault="00661E34" w:rsidP="00661E3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19D7">
              <w:rPr>
                <w:sz w:val="32"/>
                <w:szCs w:val="32"/>
              </w:rPr>
              <w:t>Lynden</w:t>
            </w:r>
          </w:p>
          <w:p w14:paraId="3C712628" w14:textId="7AF6316D" w:rsidR="00661E34" w:rsidRPr="005919D7" w:rsidRDefault="00661E34" w:rsidP="002312A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19D7">
              <w:rPr>
                <w:sz w:val="32"/>
                <w:szCs w:val="32"/>
              </w:rPr>
              <w:t>Meridian</w:t>
            </w:r>
          </w:p>
          <w:p w14:paraId="2C3E5EFC" w14:textId="2A6E5C9E" w:rsidR="00661E34" w:rsidRDefault="005919D7" w:rsidP="0092468F">
            <w:r w:rsidRPr="005919D7">
              <w:rPr>
                <w:sz w:val="32"/>
                <w:szCs w:val="32"/>
              </w:rPr>
              <w:t xml:space="preserve">                  </w:t>
            </w:r>
            <w:r w:rsidR="00661E34" w:rsidRPr="005919D7">
              <w:rPr>
                <w:sz w:val="32"/>
                <w:szCs w:val="32"/>
              </w:rPr>
              <w:t>Sedro –Woolley</w:t>
            </w:r>
          </w:p>
        </w:tc>
      </w:tr>
      <w:tr w:rsidR="00661E34" w14:paraId="738E6E45" w14:textId="77777777" w:rsidTr="005919D7">
        <w:tc>
          <w:tcPr>
            <w:tcW w:w="8856" w:type="dxa"/>
            <w:gridSpan w:val="2"/>
            <w:shd w:val="clear" w:color="auto" w:fill="auto"/>
          </w:tcPr>
          <w:p w14:paraId="22A940D8" w14:textId="77777777" w:rsidR="00661E34" w:rsidRDefault="00661E34" w:rsidP="00661E34">
            <w:pPr>
              <w:rPr>
                <w:b/>
                <w:sz w:val="20"/>
                <w:szCs w:val="20"/>
              </w:rPr>
            </w:pPr>
            <w:r w:rsidRPr="00953029">
              <w:rPr>
                <w:b/>
                <w:sz w:val="20"/>
                <w:szCs w:val="20"/>
              </w:rPr>
              <w:t>SPECIAL AREAS OF EXPERTISE</w:t>
            </w:r>
          </w:p>
          <w:p w14:paraId="5229565D" w14:textId="4CB52C94" w:rsidR="00661E34" w:rsidRPr="00661E34" w:rsidRDefault="00661E34" w:rsidP="00661E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administration                                              </w:t>
            </w:r>
            <w:r w:rsidR="002924B5">
              <w:rPr>
                <w:sz w:val="20"/>
                <w:szCs w:val="20"/>
              </w:rPr>
              <w:t xml:space="preserve">        Highly Capable Program D</w:t>
            </w:r>
            <w:r>
              <w:rPr>
                <w:sz w:val="20"/>
                <w:szCs w:val="20"/>
              </w:rPr>
              <w:t>esign</w:t>
            </w:r>
            <w:r w:rsidR="002924B5">
              <w:rPr>
                <w:sz w:val="20"/>
                <w:szCs w:val="20"/>
              </w:rPr>
              <w:t xml:space="preserve"> &amp; Development</w:t>
            </w:r>
          </w:p>
          <w:p w14:paraId="16E31AF5" w14:textId="77777777" w:rsidR="00661E34" w:rsidRPr="00953029" w:rsidRDefault="00661E34" w:rsidP="0066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 Strategies for the Hi-Cap learner                     Effective curriculum models for gifted </w:t>
            </w:r>
          </w:p>
          <w:p w14:paraId="218DF56F" w14:textId="77777777" w:rsidR="00661E34" w:rsidRPr="00953029" w:rsidRDefault="00661E34" w:rsidP="00661E34">
            <w:pPr>
              <w:rPr>
                <w:sz w:val="20"/>
                <w:szCs w:val="20"/>
              </w:rPr>
            </w:pPr>
            <w:r w:rsidRPr="00953029">
              <w:rPr>
                <w:sz w:val="20"/>
                <w:szCs w:val="20"/>
              </w:rPr>
              <w:t>Critical and creative thinking skills</w:t>
            </w:r>
            <w:r>
              <w:rPr>
                <w:sz w:val="20"/>
                <w:szCs w:val="20"/>
              </w:rPr>
              <w:t xml:space="preserve">                                 Identification, including use of </w:t>
            </w:r>
            <w:r w:rsidRPr="00953029">
              <w:rPr>
                <w:sz w:val="20"/>
                <w:szCs w:val="20"/>
              </w:rPr>
              <w:t>qua</w:t>
            </w:r>
            <w:r>
              <w:rPr>
                <w:sz w:val="20"/>
                <w:szCs w:val="20"/>
              </w:rPr>
              <w:t xml:space="preserve">litative data                          </w:t>
            </w:r>
          </w:p>
          <w:p w14:paraId="5E0D614A" w14:textId="77777777" w:rsidR="00661E34" w:rsidRDefault="00661E34" w:rsidP="0066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plan development                                               Differentiation (Tomlinson)</w:t>
            </w:r>
          </w:p>
          <w:p w14:paraId="4457B382" w14:textId="77777777" w:rsidR="00661E34" w:rsidRDefault="00661E34" w:rsidP="00661E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49EC7FAE" w14:textId="79856DA5" w:rsidR="00C0682A" w:rsidRDefault="00C0682A" w:rsidP="00BE6931"/>
    <w:p w14:paraId="3E04A07B" w14:textId="64100FAE" w:rsidR="00BE6931" w:rsidRDefault="00BE6931" w:rsidP="00BE6931">
      <w:r>
        <w:t xml:space="preserve">*NOTE:  </w:t>
      </w:r>
      <w:r w:rsidRPr="00BE6931">
        <w:rPr>
          <w:i/>
        </w:rPr>
        <w:t>Districts have initially been divided by geographic location.  It is possible to chang</w:t>
      </w:r>
      <w:r w:rsidR="002924B5">
        <w:rPr>
          <w:i/>
        </w:rPr>
        <w:t xml:space="preserve">e contractors dependent upon your </w:t>
      </w:r>
      <w:r w:rsidR="00782129">
        <w:rPr>
          <w:i/>
        </w:rPr>
        <w:t>district’s specific</w:t>
      </w:r>
      <w:r w:rsidR="002924B5">
        <w:rPr>
          <w:i/>
        </w:rPr>
        <w:t xml:space="preserve"> needs.  Please </w:t>
      </w:r>
      <w:r w:rsidR="00782129">
        <w:rPr>
          <w:i/>
        </w:rPr>
        <w:t>contact</w:t>
      </w:r>
      <w:r w:rsidR="002924B5">
        <w:rPr>
          <w:i/>
        </w:rPr>
        <w:t xml:space="preserve"> Pam </w:t>
      </w:r>
      <w:r w:rsidR="00782129">
        <w:rPr>
          <w:i/>
        </w:rPr>
        <w:t>Estvold</w:t>
      </w:r>
      <w:r w:rsidR="002924B5">
        <w:rPr>
          <w:i/>
        </w:rPr>
        <w:t>.</w:t>
      </w:r>
    </w:p>
    <w:p w14:paraId="70E88B78" w14:textId="77777777" w:rsidR="00C0682A" w:rsidRDefault="00C0682A" w:rsidP="00C0682A"/>
    <w:p w14:paraId="7FF51690" w14:textId="7F860322" w:rsidR="00720F8D" w:rsidRPr="001B11C6" w:rsidRDefault="00720F8D" w:rsidP="0092468F">
      <w:pPr>
        <w:rPr>
          <w:b/>
        </w:rPr>
      </w:pPr>
      <w:r w:rsidRPr="001B11C6">
        <w:rPr>
          <w:b/>
        </w:rPr>
        <w:t xml:space="preserve">The Contractor’s purpose is to help your </w:t>
      </w:r>
      <w:r w:rsidR="001B11C6" w:rsidRPr="001B11C6">
        <w:rPr>
          <w:b/>
        </w:rPr>
        <w:t>district comply with OSPI rules and to also</w:t>
      </w:r>
      <w:r w:rsidRPr="001B11C6">
        <w:rPr>
          <w:b/>
        </w:rPr>
        <w:t xml:space="preserve"> provide exemplary services to identified students.  To better understand where your district is in its developmental process, your contractor would appreciate receiving the following district documents</w:t>
      </w:r>
      <w:r w:rsidR="00661E34">
        <w:rPr>
          <w:b/>
        </w:rPr>
        <w:t>:</w:t>
      </w:r>
    </w:p>
    <w:p w14:paraId="786F9343" w14:textId="77777777" w:rsidR="00720F8D" w:rsidRDefault="00720F8D" w:rsidP="0092468F"/>
    <w:p w14:paraId="77D90D5D" w14:textId="35660516" w:rsidR="00720F8D" w:rsidRDefault="001B11C6" w:rsidP="0092468F">
      <w:r>
        <w:t xml:space="preserve">District HIGHLY CAPABLE </w:t>
      </w:r>
      <w:r w:rsidR="00720F8D">
        <w:t>PROGRAM HANDBOOK</w:t>
      </w:r>
    </w:p>
    <w:p w14:paraId="6C7370F1" w14:textId="77777777" w:rsidR="001B11C6" w:rsidRDefault="001B11C6" w:rsidP="0092468F"/>
    <w:p w14:paraId="4485CAEC" w14:textId="46252CC7" w:rsidR="00720F8D" w:rsidRDefault="002924B5" w:rsidP="0092468F">
      <w:r>
        <w:t>Unless provided in the Handbook, documents that describe your……</w:t>
      </w:r>
    </w:p>
    <w:p w14:paraId="25DDF64F" w14:textId="77777777" w:rsidR="001B11C6" w:rsidRDefault="001B11C6" w:rsidP="0092468F"/>
    <w:p w14:paraId="3FCF6AA0" w14:textId="342DBBEB" w:rsidR="00655495" w:rsidRDefault="00720F8D" w:rsidP="005919D7">
      <w:pPr>
        <w:pStyle w:val="ListParagraph"/>
        <w:numPr>
          <w:ilvl w:val="1"/>
          <w:numId w:val="1"/>
        </w:numPr>
      </w:pPr>
      <w:r>
        <w:t>Identification Procedures including instrument</w:t>
      </w:r>
      <w:r w:rsidR="005919D7">
        <w:t xml:space="preserve">s, </w:t>
      </w:r>
      <w:r>
        <w:t>criteria</w:t>
      </w:r>
      <w:r w:rsidR="005919D7">
        <w:t xml:space="preserve"> and forms</w:t>
      </w:r>
      <w:r>
        <w:t>.</w:t>
      </w:r>
    </w:p>
    <w:p w14:paraId="11CDCD71" w14:textId="4251AE62" w:rsidR="00720F8D" w:rsidRDefault="00720F8D" w:rsidP="001B11C6">
      <w:pPr>
        <w:pStyle w:val="ListParagraph"/>
        <w:numPr>
          <w:ilvl w:val="1"/>
          <w:numId w:val="1"/>
        </w:numPr>
      </w:pPr>
      <w:r>
        <w:t>District recording/reporting document</w:t>
      </w:r>
      <w:r w:rsidR="00655495">
        <w:t xml:space="preserve"> for ID </w:t>
      </w:r>
      <w:r>
        <w:t>eligibility status</w:t>
      </w:r>
    </w:p>
    <w:p w14:paraId="03D69237" w14:textId="25BC31CE" w:rsidR="00720F8D" w:rsidRDefault="00720F8D" w:rsidP="001B11C6">
      <w:pPr>
        <w:pStyle w:val="ListParagraph"/>
        <w:numPr>
          <w:ilvl w:val="1"/>
          <w:numId w:val="1"/>
        </w:numPr>
      </w:pPr>
      <w:r>
        <w:t>Procedures</w:t>
      </w:r>
      <w:r w:rsidR="00655495">
        <w:t xml:space="preserve"> and forms</w:t>
      </w:r>
      <w:r>
        <w:t xml:space="preserve"> for appeals, exit, and re-entry </w:t>
      </w:r>
    </w:p>
    <w:p w14:paraId="59B3ED5E" w14:textId="274189A3" w:rsidR="00720F8D" w:rsidRDefault="00720F8D" w:rsidP="001B11C6">
      <w:pPr>
        <w:pStyle w:val="ListParagraph"/>
        <w:numPr>
          <w:ilvl w:val="1"/>
          <w:numId w:val="1"/>
        </w:numPr>
      </w:pPr>
      <w:r>
        <w:t>Definition of the Highly Capable learner</w:t>
      </w:r>
    </w:p>
    <w:p w14:paraId="13B5DF43" w14:textId="529BAE5B" w:rsidR="00655495" w:rsidRDefault="00720F8D" w:rsidP="001B11C6">
      <w:pPr>
        <w:pStyle w:val="ListParagraph"/>
        <w:numPr>
          <w:ilvl w:val="1"/>
          <w:numId w:val="1"/>
        </w:numPr>
      </w:pPr>
      <w:r>
        <w:t>Purpose of the Highly Capable Program</w:t>
      </w:r>
    </w:p>
    <w:p w14:paraId="608D3F24" w14:textId="125D10D2" w:rsidR="00655495" w:rsidRDefault="00720F8D" w:rsidP="005919D7">
      <w:pPr>
        <w:pStyle w:val="ListParagraph"/>
        <w:numPr>
          <w:ilvl w:val="1"/>
          <w:numId w:val="1"/>
        </w:numPr>
      </w:pPr>
      <w:r>
        <w:t>Program Goals</w:t>
      </w:r>
      <w:r w:rsidR="005919D7">
        <w:t xml:space="preserve"> and </w:t>
      </w:r>
      <w:r>
        <w:t>Instructional Goals</w:t>
      </w:r>
    </w:p>
    <w:p w14:paraId="6733E2A7" w14:textId="700D52A5" w:rsidR="0092468F" w:rsidRDefault="00655495" w:rsidP="005919D7">
      <w:pPr>
        <w:pStyle w:val="ListParagraph"/>
        <w:numPr>
          <w:ilvl w:val="1"/>
          <w:numId w:val="1"/>
        </w:numPr>
      </w:pPr>
      <w:r>
        <w:t>Method of documenting student lea</w:t>
      </w:r>
      <w:r w:rsidR="005919D7">
        <w:t>rning goals (e.g. learning plan)</w:t>
      </w:r>
    </w:p>
    <w:sectPr w:rsidR="0092468F" w:rsidSect="00661E34">
      <w:pgSz w:w="12240" w:h="15840"/>
      <w:pgMar w:top="1440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7F85"/>
    <w:multiLevelType w:val="hybridMultilevel"/>
    <w:tmpl w:val="E27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E3E54"/>
    <w:multiLevelType w:val="hybridMultilevel"/>
    <w:tmpl w:val="A5A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8F"/>
    <w:rsid w:val="00032913"/>
    <w:rsid w:val="00033B5C"/>
    <w:rsid w:val="000A62FC"/>
    <w:rsid w:val="000D0F1C"/>
    <w:rsid w:val="001233AB"/>
    <w:rsid w:val="001B11C6"/>
    <w:rsid w:val="002312A1"/>
    <w:rsid w:val="002924B5"/>
    <w:rsid w:val="003010AB"/>
    <w:rsid w:val="004B693B"/>
    <w:rsid w:val="004D39EF"/>
    <w:rsid w:val="005641B4"/>
    <w:rsid w:val="005919D7"/>
    <w:rsid w:val="00655495"/>
    <w:rsid w:val="00661E34"/>
    <w:rsid w:val="00680C0F"/>
    <w:rsid w:val="0069388D"/>
    <w:rsid w:val="006F3778"/>
    <w:rsid w:val="0070506C"/>
    <w:rsid w:val="00720F8D"/>
    <w:rsid w:val="0077368B"/>
    <w:rsid w:val="00782129"/>
    <w:rsid w:val="0078707E"/>
    <w:rsid w:val="008C577C"/>
    <w:rsid w:val="0092468F"/>
    <w:rsid w:val="00953029"/>
    <w:rsid w:val="009F7BCE"/>
    <w:rsid w:val="00B509CD"/>
    <w:rsid w:val="00BE6931"/>
    <w:rsid w:val="00C0682A"/>
    <w:rsid w:val="00C90DC2"/>
    <w:rsid w:val="00CA2AD1"/>
    <w:rsid w:val="00D11D6B"/>
    <w:rsid w:val="00D347D9"/>
    <w:rsid w:val="00E20CDD"/>
    <w:rsid w:val="00E45C7D"/>
    <w:rsid w:val="00EC19A3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64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bonzo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d_christensen@msvl.k12.w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B9D96AF6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Consulting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Bonzon</dc:creator>
  <cp:lastModifiedBy>Anita Garcia-Holzemer</cp:lastModifiedBy>
  <cp:revision>3</cp:revision>
  <cp:lastPrinted>2015-09-15T18:10:00Z</cp:lastPrinted>
  <dcterms:created xsi:type="dcterms:W3CDTF">2015-10-14T16:08:00Z</dcterms:created>
  <dcterms:modified xsi:type="dcterms:W3CDTF">2015-10-16T21:05:00Z</dcterms:modified>
</cp:coreProperties>
</file>